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Default="00D10942" w:rsidP="001A3350">
      <w:pPr>
        <w:pStyle w:val="Akapitzlist"/>
        <w:numPr>
          <w:ilvl w:val="0"/>
          <w:numId w:val="5"/>
        </w:numPr>
        <w:spacing w:before="120" w:after="120"/>
        <w:jc w:val="both"/>
        <w:rPr>
          <w:rFonts w:ascii="Garamond" w:hAnsi="Garamond"/>
          <w:sz w:val="24"/>
          <w:szCs w:val="24"/>
        </w:rPr>
      </w:pPr>
      <w:r w:rsidRPr="001A3350">
        <w:rPr>
          <w:rFonts w:ascii="Garamond" w:hAnsi="Garamond"/>
          <w:sz w:val="24"/>
          <w:szCs w:val="24"/>
        </w:rPr>
        <w:t>Zgodnie z art. 13 ust. 1 i 2 R</w:t>
      </w:r>
      <w:r w:rsidR="003973C7" w:rsidRPr="001A3350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1A3350">
        <w:rPr>
          <w:rFonts w:ascii="Garamond" w:hAnsi="Garamond"/>
          <w:sz w:val="24"/>
          <w:szCs w:val="24"/>
        </w:rPr>
        <w:t>ogólne rozporządzenie o ochronie danych,</w:t>
      </w:r>
      <w:r w:rsidR="003973C7" w:rsidRPr="001A3350">
        <w:rPr>
          <w:rFonts w:ascii="Garamond" w:hAnsi="Garamond"/>
          <w:sz w:val="24"/>
          <w:szCs w:val="24"/>
        </w:rPr>
        <w:t xml:space="preserve"> dalej: RODO), informujemy:</w:t>
      </w:r>
    </w:p>
    <w:p w:rsidR="00E67CF2" w:rsidRPr="001A3350" w:rsidRDefault="00E67CF2" w:rsidP="00E67CF2">
      <w:pPr>
        <w:pStyle w:val="Akapitzlist"/>
        <w:spacing w:before="120" w:after="120"/>
        <w:ind w:left="862"/>
        <w:jc w:val="both"/>
        <w:rPr>
          <w:rFonts w:ascii="Garamond" w:hAnsi="Garamond"/>
          <w:sz w:val="24"/>
          <w:szCs w:val="24"/>
        </w:rPr>
      </w:pP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</w:t>
      </w:r>
      <w:r w:rsidR="00231BA9" w:rsidRPr="00397A3D">
        <w:rPr>
          <w:rFonts w:ascii="Garamond" w:hAnsi="Garamond"/>
          <w:sz w:val="24"/>
          <w:szCs w:val="24"/>
        </w:rPr>
        <w:t>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2018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, poz. 577)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2018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1244</w:t>
      </w:r>
      <w:r w:rsidR="001A3350">
        <w:rPr>
          <w:rFonts w:ascii="Garamond" w:hAnsi="Garamond"/>
          <w:sz w:val="24"/>
          <w:szCs w:val="24"/>
        </w:rPr>
        <w:t xml:space="preserve"> ze zm.</w:t>
      </w:r>
      <w:r w:rsidR="00255DEC" w:rsidRPr="00397A3D">
        <w:rPr>
          <w:rFonts w:ascii="Garamond" w:hAnsi="Garamond"/>
          <w:sz w:val="24"/>
          <w:szCs w:val="24"/>
        </w:rPr>
        <w:t>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</w:t>
      </w:r>
      <w:proofErr w:type="spellStart"/>
      <w:r w:rsidR="001A3350">
        <w:rPr>
          <w:rFonts w:ascii="Garamond" w:hAnsi="Garamond"/>
          <w:sz w:val="24"/>
          <w:szCs w:val="24"/>
        </w:rPr>
        <w:t>tj</w:t>
      </w:r>
      <w:proofErr w:type="spellEnd"/>
      <w:r w:rsidR="001A3350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</w:t>
      </w:r>
      <w:r w:rsidR="001A3350">
        <w:rPr>
          <w:rFonts w:ascii="Garamond" w:hAnsi="Garamond"/>
          <w:sz w:val="24"/>
          <w:szCs w:val="24"/>
        </w:rPr>
        <w:t>4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 xml:space="preserve">, poz. </w:t>
      </w:r>
      <w:r w:rsidR="001A3350">
        <w:rPr>
          <w:rFonts w:ascii="Garamond" w:hAnsi="Garamond"/>
          <w:sz w:val="24"/>
          <w:szCs w:val="24"/>
        </w:rPr>
        <w:t>334</w:t>
      </w:r>
      <w:r w:rsidR="00D25C8D">
        <w:rPr>
          <w:rFonts w:ascii="Garamond" w:hAnsi="Garamond"/>
          <w:sz w:val="24"/>
          <w:szCs w:val="24"/>
        </w:rPr>
        <w:t xml:space="preserve"> </w:t>
      </w:r>
      <w:r w:rsidR="001A3350">
        <w:rPr>
          <w:rFonts w:ascii="Garamond" w:hAnsi="Garamond"/>
          <w:sz w:val="24"/>
          <w:szCs w:val="24"/>
        </w:rPr>
        <w:t>ze zm.</w:t>
      </w:r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2013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1228</w:t>
      </w:r>
      <w:r w:rsidR="001A3350">
        <w:rPr>
          <w:rFonts w:ascii="Garamond" w:hAnsi="Garamond"/>
          <w:sz w:val="24"/>
          <w:szCs w:val="24"/>
        </w:rPr>
        <w:t xml:space="preserve"> ze zm.</w:t>
      </w:r>
      <w:r w:rsidR="00231BA9" w:rsidRPr="00397A3D">
        <w:rPr>
          <w:rFonts w:ascii="Garamond" w:hAnsi="Garamond"/>
          <w:sz w:val="24"/>
          <w:szCs w:val="24"/>
        </w:rPr>
        <w:t>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proofErr w:type="spellStart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2020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, poz. 167</w:t>
      </w:r>
      <w:r w:rsidR="001A335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ze zm.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1A3350" w:rsidRPr="001A3350" w:rsidRDefault="001A3350" w:rsidP="001A3350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Garamond" w:hAnsi="Garamond"/>
          <w:b/>
          <w:sz w:val="24"/>
          <w:szCs w:val="24"/>
        </w:rPr>
      </w:pPr>
      <w:r w:rsidRPr="001A3350">
        <w:rPr>
          <w:rFonts w:ascii="Garamond" w:hAnsi="Garamond" w:cs="Times New Roman"/>
          <w:sz w:val="24"/>
          <w:szCs w:val="24"/>
        </w:rPr>
        <w:t>Informujemy, iż w Sądzie Rejonowym w Białymstoku funkcjonuje „</w:t>
      </w:r>
      <w:r w:rsidRPr="001A3350">
        <w:rPr>
          <w:rFonts w:ascii="Garamond" w:hAnsi="Garamond" w:cs="Times New Roman"/>
          <w:bCs/>
          <w:sz w:val="24"/>
          <w:szCs w:val="24"/>
        </w:rPr>
        <w:t xml:space="preserve">Wewnętrzna procedura dokonywania zgłoszeń naruszeń prawa i podejmowania działań następczych w Sądzie Rejonowym w Białymstoku”, która </w:t>
      </w:r>
      <w:r w:rsidRPr="001A3350">
        <w:rPr>
          <w:rFonts w:ascii="Garamond" w:hAnsi="Garamond" w:cs="Times New Roman"/>
          <w:sz w:val="24"/>
          <w:szCs w:val="24"/>
        </w:rPr>
        <w:t>ma na celu realizację obowiązków wynikających z ustawy z dnia 14 czerwca 2024 r. o ochronie sygnalistów (Dz. U. z 2024 r., poz. 928) w zakresie przyjmowania zgłoszeń wewnętrznych zawierających informacje o naruszeniu prawa w  Sądzie Rejonowym w Białymstoku</w:t>
      </w:r>
      <w:r w:rsidRPr="001A3350">
        <w:rPr>
          <w:rFonts w:ascii="Garamond" w:hAnsi="Garamond"/>
          <w:sz w:val="24"/>
          <w:szCs w:val="24"/>
        </w:rPr>
        <w:t>.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1A3350" w:rsidRPr="00DC4ABA" w:rsidRDefault="001A3350" w:rsidP="001A3350">
      <w:pPr>
        <w:jc w:val="both"/>
        <w:rPr>
          <w:rFonts w:cstheme="minorHAnsi"/>
        </w:rPr>
      </w:pPr>
      <w:r w:rsidRPr="001066B1">
        <w:rPr>
          <w:rFonts w:cstheme="minorHAnsi"/>
        </w:rPr>
        <w:t xml:space="preserve">Szczegółowa klauzula informacyjna dostępna jest na stronie internetowej Sądu </w:t>
      </w:r>
      <w:r>
        <w:rPr>
          <w:rFonts w:cstheme="minorHAnsi"/>
        </w:rPr>
        <w:t>Rejonowego</w:t>
      </w:r>
      <w:r w:rsidRPr="001066B1">
        <w:rPr>
          <w:rFonts w:cstheme="minorHAnsi"/>
        </w:rPr>
        <w:t xml:space="preserve"> w Białymstoku w zakładce → </w:t>
      </w:r>
      <w:r>
        <w:rPr>
          <w:rFonts w:cstheme="minorHAnsi"/>
        </w:rPr>
        <w:t>Ochrona Danych Osobowych</w:t>
      </w:r>
      <w:r w:rsidRPr="001066B1">
        <w:rPr>
          <w:rFonts w:cstheme="minorHAnsi"/>
        </w:rPr>
        <w:t xml:space="preserve"> →</w:t>
      </w:r>
      <w:r>
        <w:rPr>
          <w:rFonts w:cstheme="minorHAnsi"/>
        </w:rPr>
        <w:t xml:space="preserve"> Czytaj więcej: Informacja dotycząca przetwarzania danych </w:t>
      </w:r>
      <w:r w:rsidRPr="001066B1">
        <w:rPr>
          <w:rFonts w:cstheme="minorHAnsi"/>
        </w:rPr>
        <w:t>→</w:t>
      </w:r>
      <w:r>
        <w:rPr>
          <w:rFonts w:cstheme="minorHAnsi"/>
        </w:rPr>
        <w:t xml:space="preserve"> załączniki</w:t>
      </w:r>
      <w:r w:rsidRPr="001066B1">
        <w:rPr>
          <w:rFonts w:cstheme="minorHAnsi"/>
        </w:rPr>
        <w:t xml:space="preserve"> Klauzule Informacyjne - pod linkiem:</w:t>
      </w:r>
      <w:r>
        <w:rPr>
          <w:rFonts w:ascii="Cambria" w:hAnsi="Cambria"/>
        </w:rPr>
        <w:t xml:space="preserve"> </w:t>
      </w:r>
      <w:hyperlink r:id="rId10" w:history="1">
        <w:r w:rsidRPr="00B232BE">
          <w:rPr>
            <w:rStyle w:val="Hipercze"/>
          </w:rPr>
          <w:t>https://www.bialystok.sr.gov.pl/ochrona-danych-osobowych/358-informacja-dotyczaca-przetwarzania-danych</w:t>
        </w:r>
      </w:hyperlink>
      <w:r>
        <w:t xml:space="preserve">  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C06" w:rsidRDefault="008C6C06" w:rsidP="005746BA">
      <w:pPr>
        <w:spacing w:after="0" w:line="240" w:lineRule="auto"/>
      </w:pPr>
      <w:r>
        <w:separator/>
      </w:r>
    </w:p>
  </w:endnote>
  <w:endnote w:type="continuationSeparator" w:id="0">
    <w:p w:rsidR="008C6C06" w:rsidRDefault="008C6C06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C06" w:rsidRDefault="008C6C06" w:rsidP="005746BA">
      <w:pPr>
        <w:spacing w:after="0" w:line="240" w:lineRule="auto"/>
      </w:pPr>
      <w:r>
        <w:separator/>
      </w:r>
    </w:p>
  </w:footnote>
  <w:footnote w:type="continuationSeparator" w:id="0">
    <w:p w:rsidR="008C6C06" w:rsidRDefault="008C6C06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A06199"/>
    <w:multiLevelType w:val="hybridMultilevel"/>
    <w:tmpl w:val="394CA3AA"/>
    <w:lvl w:ilvl="0" w:tplc="2278A29E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A3350"/>
    <w:rsid w:val="001B182F"/>
    <w:rsid w:val="001B4E9A"/>
    <w:rsid w:val="001B512A"/>
    <w:rsid w:val="001C4073"/>
    <w:rsid w:val="001E30E6"/>
    <w:rsid w:val="00231BA9"/>
    <w:rsid w:val="00255DEC"/>
    <w:rsid w:val="003277BC"/>
    <w:rsid w:val="00337BB0"/>
    <w:rsid w:val="00383504"/>
    <w:rsid w:val="003973C7"/>
    <w:rsid w:val="00397A3D"/>
    <w:rsid w:val="003F568B"/>
    <w:rsid w:val="00444FD8"/>
    <w:rsid w:val="00460FD4"/>
    <w:rsid w:val="00487ED3"/>
    <w:rsid w:val="00567D54"/>
    <w:rsid w:val="005746BA"/>
    <w:rsid w:val="005812AF"/>
    <w:rsid w:val="00621A6D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8C6C06"/>
    <w:rsid w:val="00921868"/>
    <w:rsid w:val="00955485"/>
    <w:rsid w:val="009825C7"/>
    <w:rsid w:val="009917DA"/>
    <w:rsid w:val="009C4840"/>
    <w:rsid w:val="009E34EA"/>
    <w:rsid w:val="00A16D54"/>
    <w:rsid w:val="00A635E7"/>
    <w:rsid w:val="00AC2D3A"/>
    <w:rsid w:val="00AC5213"/>
    <w:rsid w:val="00B328C3"/>
    <w:rsid w:val="00BA5D5C"/>
    <w:rsid w:val="00BF4A9B"/>
    <w:rsid w:val="00C52713"/>
    <w:rsid w:val="00CD028E"/>
    <w:rsid w:val="00CD0C2C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67CF2"/>
    <w:rsid w:val="00E70D96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bialystok.sr.gov.pl/ochrona-danych-osobowych/358-informacja-dotyczaca-przetwarzania-dany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2025-03-24T12:21:00Z</dcterms:created>
  <dcterms:modified xsi:type="dcterms:W3CDTF">2025-03-24T12:21:00Z</dcterms:modified>
</cp:coreProperties>
</file>