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184B" w:rsidRPr="00BC3113" w:rsidRDefault="00CC184B" w:rsidP="00CC184B">
      <w:pPr>
        <w:spacing w:after="0"/>
        <w:jc w:val="both"/>
        <w:rPr>
          <w:rFonts w:ascii="Arial" w:eastAsia="Calibri" w:hAnsi="Arial" w:cs="Arial"/>
          <w:b/>
        </w:rPr>
      </w:pPr>
      <w:bookmarkStart w:id="0" w:name="_GoBack"/>
      <w:bookmarkEnd w:id="0"/>
    </w:p>
    <w:p w:rsidR="00CC184B" w:rsidRPr="00BC3113" w:rsidRDefault="00CC184B" w:rsidP="00CC184B">
      <w:pPr>
        <w:spacing w:after="0"/>
        <w:jc w:val="both"/>
        <w:rPr>
          <w:rFonts w:ascii="Arial" w:eastAsia="Calibri" w:hAnsi="Arial" w:cs="Arial"/>
          <w:b/>
        </w:rPr>
      </w:pPr>
    </w:p>
    <w:p w:rsidR="00CC184B" w:rsidRPr="00BC3113" w:rsidRDefault="00CC184B" w:rsidP="00CC184B">
      <w:pPr>
        <w:spacing w:after="0"/>
        <w:jc w:val="both"/>
        <w:rPr>
          <w:rFonts w:ascii="Arial" w:eastAsia="Calibri" w:hAnsi="Arial" w:cs="Arial"/>
          <w:b/>
        </w:rPr>
      </w:pPr>
    </w:p>
    <w:p w:rsidR="00CC184B" w:rsidRPr="00BC3113" w:rsidRDefault="00CC184B" w:rsidP="00CC184B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CC184B" w:rsidRPr="00BC3113" w:rsidRDefault="00CC184B" w:rsidP="00CC184B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CC184B" w:rsidRPr="00BC3113" w:rsidRDefault="00CC184B" w:rsidP="00CC184B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CC184B" w:rsidRPr="00BC3113" w:rsidRDefault="00CC184B" w:rsidP="00CC184B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CC184B" w:rsidRPr="00BC3113" w:rsidRDefault="00CC184B" w:rsidP="00CC184B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CC184B" w:rsidRPr="00BC3113" w:rsidRDefault="00CC184B" w:rsidP="00CC184B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CC184B" w:rsidRPr="00BC3113" w:rsidRDefault="00CC184B" w:rsidP="00CC184B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CC184B" w:rsidRPr="00BC3113" w:rsidRDefault="00CC184B" w:rsidP="00CC184B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CC184B" w:rsidRPr="00BC3113" w:rsidRDefault="00CC184B" w:rsidP="00CC184B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CC184B" w:rsidRPr="00BC3113" w:rsidRDefault="00CC184B" w:rsidP="00CC184B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CC184B" w:rsidRPr="00BC3113" w:rsidRDefault="00CC184B" w:rsidP="00CC184B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CC184B" w:rsidRPr="00BC3113" w:rsidRDefault="00CC184B" w:rsidP="00CC184B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CC184B" w:rsidRPr="00BC3113" w:rsidRDefault="00CC184B" w:rsidP="00CC184B">
      <w:pPr>
        <w:widowControl w:val="0"/>
        <w:autoSpaceDE w:val="0"/>
        <w:autoSpaceDN w:val="0"/>
        <w:adjustRightInd w:val="0"/>
        <w:spacing w:after="120" w:line="360" w:lineRule="auto"/>
        <w:ind w:left="426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  <w:r w:rsidRPr="00BC3113"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>Zapytanie ofertowe</w:t>
      </w:r>
      <w:r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 xml:space="preserve"> nr G-241-45/18</w:t>
      </w:r>
    </w:p>
    <w:p w:rsidR="00CC184B" w:rsidRPr="00BC3113" w:rsidRDefault="00CC184B" w:rsidP="00CC184B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  <w:r w:rsidRPr="00BC3113">
        <w:rPr>
          <w:rFonts w:ascii="Arial" w:eastAsia="Calibri" w:hAnsi="Arial" w:cs="Arial"/>
          <w:sz w:val="28"/>
          <w:szCs w:val="28"/>
        </w:rPr>
        <w:t xml:space="preserve">na  </w:t>
      </w:r>
      <w:r>
        <w:rPr>
          <w:rFonts w:ascii="Arial" w:eastAsia="Calibri" w:hAnsi="Arial" w:cs="Arial"/>
          <w:sz w:val="28"/>
          <w:szCs w:val="28"/>
        </w:rPr>
        <w:t>dostawę wraz z montażem regałów jezdnych na akta zawieszkowe w budynku Sądu Rejonowego w Białymstoku</w:t>
      </w:r>
      <w:r w:rsidRPr="00BC3113">
        <w:rPr>
          <w:rFonts w:ascii="Arial" w:eastAsia="Calibri" w:hAnsi="Arial" w:cs="Arial"/>
          <w:sz w:val="28"/>
          <w:szCs w:val="28"/>
        </w:rPr>
        <w:t xml:space="preserve"> </w:t>
      </w:r>
      <w:r w:rsidRPr="00BC3113">
        <w:rPr>
          <w:rFonts w:ascii="Arial" w:eastAsia="Calibri" w:hAnsi="Arial" w:cs="Arial"/>
          <w:sz w:val="28"/>
          <w:szCs w:val="28"/>
        </w:rPr>
        <w:br/>
      </w:r>
    </w:p>
    <w:p w:rsidR="00CC184B" w:rsidRDefault="00CC184B" w:rsidP="00CC184B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CC184B" w:rsidRDefault="00CC184B" w:rsidP="00CC184B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CC184B" w:rsidRDefault="00CC184B" w:rsidP="00CC184B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CC184B" w:rsidRDefault="00CC184B" w:rsidP="00CC184B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CC184B" w:rsidRPr="00BC3113" w:rsidRDefault="00CC184B" w:rsidP="00CC184B">
      <w:pPr>
        <w:spacing w:after="120" w:line="360" w:lineRule="auto"/>
        <w:ind w:left="426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4"/>
          <w:szCs w:val="24"/>
        </w:rPr>
        <w:t>Białystok</w:t>
      </w:r>
      <w:r w:rsidRPr="00BC3113">
        <w:rPr>
          <w:rFonts w:ascii="Arial" w:eastAsia="Calibri" w:hAnsi="Arial" w:cs="Arial"/>
          <w:sz w:val="24"/>
          <w:szCs w:val="24"/>
        </w:rPr>
        <w:t xml:space="preserve">, </w:t>
      </w:r>
      <w:r>
        <w:rPr>
          <w:rFonts w:ascii="Arial" w:eastAsia="Calibri" w:hAnsi="Arial" w:cs="Arial"/>
          <w:sz w:val="24"/>
          <w:szCs w:val="24"/>
        </w:rPr>
        <w:t>11 października</w:t>
      </w:r>
      <w:r w:rsidRPr="00BC3113">
        <w:rPr>
          <w:rFonts w:ascii="Arial" w:eastAsia="Calibri" w:hAnsi="Arial" w:cs="Arial"/>
          <w:sz w:val="24"/>
          <w:szCs w:val="24"/>
        </w:rPr>
        <w:t xml:space="preserve"> 201</w:t>
      </w:r>
      <w:r>
        <w:rPr>
          <w:rFonts w:ascii="Arial" w:eastAsia="Calibri" w:hAnsi="Arial" w:cs="Arial"/>
          <w:sz w:val="24"/>
          <w:szCs w:val="24"/>
        </w:rPr>
        <w:t>8</w:t>
      </w:r>
      <w:r w:rsidRPr="00BC3113">
        <w:rPr>
          <w:rFonts w:ascii="Arial" w:eastAsia="Calibri" w:hAnsi="Arial" w:cs="Arial"/>
          <w:sz w:val="24"/>
          <w:szCs w:val="24"/>
        </w:rPr>
        <w:t xml:space="preserve"> r. </w:t>
      </w:r>
      <w:r w:rsidRPr="00BC3113">
        <w:rPr>
          <w:rFonts w:ascii="Arial" w:eastAsia="Calibri" w:hAnsi="Arial" w:cs="Arial"/>
          <w:sz w:val="28"/>
          <w:szCs w:val="28"/>
        </w:rPr>
        <w:br w:type="page"/>
      </w:r>
    </w:p>
    <w:p w:rsidR="00CC184B" w:rsidRDefault="00CC184B" w:rsidP="00CC184B">
      <w:pPr>
        <w:keepNext/>
        <w:keepLines/>
        <w:spacing w:after="120" w:line="360" w:lineRule="auto"/>
        <w:ind w:left="284" w:hanging="284"/>
        <w:jc w:val="both"/>
        <w:outlineLvl w:val="1"/>
        <w:rPr>
          <w:rFonts w:ascii="Arial" w:eastAsia="Times New Roman" w:hAnsi="Arial" w:cs="Arial"/>
          <w:b/>
          <w:bCs/>
        </w:rPr>
      </w:pPr>
    </w:p>
    <w:p w:rsidR="00CC184B" w:rsidRPr="0013275A" w:rsidRDefault="00CC184B" w:rsidP="00CC184B">
      <w:pPr>
        <w:pStyle w:val="Akapitzlist"/>
        <w:keepNext/>
        <w:keepLines/>
        <w:numPr>
          <w:ilvl w:val="0"/>
          <w:numId w:val="2"/>
        </w:numPr>
        <w:spacing w:after="120" w:line="360" w:lineRule="auto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 w:rsidRPr="0013275A">
        <w:rPr>
          <w:rFonts w:ascii="Arial" w:eastAsia="Times New Roman" w:hAnsi="Arial" w:cs="Arial"/>
          <w:b/>
          <w:bCs/>
          <w:lang w:val="x-none"/>
        </w:rPr>
        <w:t xml:space="preserve">Informacje o Zamawiającym </w:t>
      </w:r>
    </w:p>
    <w:p w:rsidR="00CC184B" w:rsidRPr="00BC3113" w:rsidRDefault="00CC184B" w:rsidP="00CC184B">
      <w:pPr>
        <w:spacing w:after="120" w:line="360" w:lineRule="auto"/>
        <w:ind w:left="284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Sąd Rejonowy w Białymstoku, ul. Mickiewicza 103, 15-950 Białystok</w:t>
      </w:r>
    </w:p>
    <w:p w:rsidR="00CC184B" w:rsidRPr="00BC3113" w:rsidRDefault="00CC184B" w:rsidP="00CC184B">
      <w:pPr>
        <w:spacing w:after="120" w:line="360" w:lineRule="auto"/>
        <w:ind w:left="284"/>
        <w:jc w:val="both"/>
        <w:rPr>
          <w:rFonts w:ascii="Arial" w:eastAsia="Calibri" w:hAnsi="Arial" w:cs="Arial"/>
        </w:rPr>
      </w:pPr>
    </w:p>
    <w:p w:rsidR="009E7E6D" w:rsidRPr="009E7E6D" w:rsidRDefault="009E7E6D" w:rsidP="009E7E6D">
      <w:pPr>
        <w:pStyle w:val="Akapitzlist"/>
        <w:keepNext/>
        <w:keepLines/>
        <w:numPr>
          <w:ilvl w:val="0"/>
          <w:numId w:val="2"/>
        </w:numPr>
        <w:tabs>
          <w:tab w:val="center" w:pos="4565"/>
          <w:tab w:val="left" w:pos="5910"/>
          <w:tab w:val="left" w:pos="8505"/>
          <w:tab w:val="left" w:pos="13608"/>
        </w:tabs>
        <w:spacing w:after="0" w:line="240" w:lineRule="auto"/>
        <w:rPr>
          <w:rFonts w:ascii="Calibri" w:eastAsia="Times New Roman" w:hAnsi="Calibri" w:cs="Times New Roman"/>
          <w:b/>
          <w:i/>
          <w:spacing w:val="20"/>
          <w:kern w:val="16"/>
          <w:sz w:val="24"/>
          <w:szCs w:val="24"/>
          <w:lang w:eastAsia="pl-PL"/>
        </w:rPr>
      </w:pPr>
      <w:r w:rsidRPr="009E7E6D">
        <w:rPr>
          <w:rFonts w:ascii="Calibri" w:eastAsia="Times New Roman" w:hAnsi="Calibri" w:cs="Times New Roman"/>
          <w:b/>
          <w:i/>
          <w:spacing w:val="20"/>
          <w:kern w:val="16"/>
          <w:sz w:val="24"/>
          <w:szCs w:val="24"/>
          <w:lang w:eastAsia="pl-PL"/>
        </w:rPr>
        <w:t>Tryb udzielenia zamówienia.</w:t>
      </w:r>
    </w:p>
    <w:p w:rsidR="009E7E6D" w:rsidRPr="009E7E6D" w:rsidRDefault="009E7E6D" w:rsidP="009E7E6D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9E7E6D" w:rsidRPr="009E7E6D" w:rsidRDefault="009E7E6D" w:rsidP="009E7E6D">
      <w:pPr>
        <w:tabs>
          <w:tab w:val="left" w:pos="8505"/>
          <w:tab w:val="left" w:pos="13608"/>
        </w:tabs>
        <w:spacing w:after="0" w:line="240" w:lineRule="auto"/>
        <w:jc w:val="both"/>
        <w:rPr>
          <w:rFonts w:ascii="Calibri" w:eastAsia="Times New Roman" w:hAnsi="Calibri" w:cs="Times New Roman"/>
          <w:kern w:val="16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kern w:val="16"/>
          <w:sz w:val="24"/>
          <w:szCs w:val="24"/>
          <w:lang w:eastAsia="pl-PL"/>
        </w:rPr>
        <w:t xml:space="preserve"> </w:t>
      </w:r>
      <w:r w:rsidRPr="009E7E6D">
        <w:rPr>
          <w:rFonts w:ascii="Calibri" w:eastAsia="Times New Roman" w:hAnsi="Calibri" w:cs="Times New Roman"/>
          <w:kern w:val="16"/>
          <w:sz w:val="24"/>
          <w:szCs w:val="24"/>
          <w:lang w:eastAsia="pl-PL"/>
        </w:rPr>
        <w:t>Postępowanie o udzielenie zamówienia publicznego o wartości zamówienia nie przekraczającej równowartości 30 000 euro, zgodnie z art. 4 ust. 8 ustawy z dnia 29 stycznia 2004r. prawo zamówień publicznych.</w:t>
      </w:r>
    </w:p>
    <w:p w:rsidR="009E7E6D" w:rsidRPr="009E7E6D" w:rsidRDefault="009E7E6D" w:rsidP="009E7E6D">
      <w:pPr>
        <w:numPr>
          <w:ilvl w:val="12"/>
          <w:numId w:val="0"/>
        </w:numPr>
        <w:tabs>
          <w:tab w:val="left" w:pos="8505"/>
          <w:tab w:val="left" w:pos="13608"/>
        </w:tabs>
        <w:spacing w:after="0" w:line="240" w:lineRule="auto"/>
        <w:jc w:val="both"/>
        <w:rPr>
          <w:rFonts w:ascii="Calibri" w:eastAsia="Times New Roman" w:hAnsi="Calibri" w:cs="Times New Roman"/>
          <w:kern w:val="16"/>
          <w:sz w:val="24"/>
          <w:szCs w:val="24"/>
          <w:lang w:eastAsia="pl-PL"/>
        </w:rPr>
      </w:pPr>
    </w:p>
    <w:p w:rsidR="009E7E6D" w:rsidRPr="009E7E6D" w:rsidRDefault="009E7E6D" w:rsidP="009E7E6D">
      <w:pPr>
        <w:keepNext/>
        <w:keepLines/>
        <w:tabs>
          <w:tab w:val="left" w:pos="8505"/>
          <w:tab w:val="left" w:pos="13608"/>
        </w:tabs>
        <w:spacing w:after="0" w:line="240" w:lineRule="auto"/>
        <w:ind w:left="360"/>
        <w:rPr>
          <w:rFonts w:ascii="Calibri" w:eastAsia="Times New Roman" w:hAnsi="Calibri" w:cs="Times New Roman"/>
          <w:b/>
          <w:i/>
          <w:spacing w:val="20"/>
          <w:kern w:val="16"/>
          <w:sz w:val="24"/>
          <w:szCs w:val="24"/>
          <w:lang w:eastAsia="pl-PL"/>
        </w:rPr>
      </w:pPr>
      <w:bookmarkStart w:id="1" w:name="_Toc68936708"/>
      <w:r>
        <w:rPr>
          <w:rFonts w:ascii="Calibri" w:eastAsia="Times New Roman" w:hAnsi="Calibri" w:cs="Times New Roman"/>
          <w:b/>
          <w:i/>
          <w:spacing w:val="20"/>
          <w:kern w:val="16"/>
          <w:sz w:val="24"/>
          <w:szCs w:val="24"/>
          <w:lang w:eastAsia="pl-PL"/>
        </w:rPr>
        <w:t>3.</w:t>
      </w:r>
      <w:r w:rsidRPr="009E7E6D">
        <w:rPr>
          <w:rFonts w:ascii="Calibri" w:eastAsia="Times New Roman" w:hAnsi="Calibri" w:cs="Times New Roman"/>
          <w:b/>
          <w:i/>
          <w:spacing w:val="20"/>
          <w:kern w:val="16"/>
          <w:sz w:val="24"/>
          <w:szCs w:val="24"/>
          <w:lang w:eastAsia="pl-PL"/>
        </w:rPr>
        <w:t xml:space="preserve"> </w:t>
      </w:r>
      <w:bookmarkStart w:id="2" w:name="_Toc80168981"/>
      <w:bookmarkEnd w:id="1"/>
      <w:r w:rsidRPr="009E7E6D">
        <w:rPr>
          <w:rFonts w:ascii="Calibri" w:eastAsia="Times New Roman" w:hAnsi="Calibri" w:cs="Times New Roman"/>
          <w:b/>
          <w:i/>
          <w:spacing w:val="20"/>
          <w:kern w:val="16"/>
          <w:sz w:val="24"/>
          <w:szCs w:val="24"/>
          <w:lang w:eastAsia="pl-PL"/>
        </w:rPr>
        <w:t>Opis przedmiotu zamówienia</w:t>
      </w:r>
      <w:bookmarkEnd w:id="2"/>
      <w:r w:rsidRPr="009E7E6D">
        <w:rPr>
          <w:rFonts w:ascii="Calibri" w:eastAsia="Times New Roman" w:hAnsi="Calibri" w:cs="Times New Roman"/>
          <w:b/>
          <w:i/>
          <w:spacing w:val="20"/>
          <w:kern w:val="16"/>
          <w:sz w:val="24"/>
          <w:szCs w:val="24"/>
          <w:lang w:eastAsia="pl-PL"/>
        </w:rPr>
        <w:t>.</w:t>
      </w:r>
    </w:p>
    <w:p w:rsidR="009E7E6D" w:rsidRPr="009E7E6D" w:rsidRDefault="009E7E6D" w:rsidP="009E7E6D">
      <w:pPr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9E7E6D" w:rsidRPr="009E7E6D" w:rsidRDefault="009E7E6D" w:rsidP="009E7E6D">
      <w:pPr>
        <w:numPr>
          <w:ilvl w:val="0"/>
          <w:numId w:val="7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Przedmiotem zamówienia jest d</w:t>
      </w:r>
      <w:r w:rsidRPr="009E7E6D">
        <w:rPr>
          <w:rFonts w:ascii="Calibri" w:eastAsia="MS Mincho" w:hAnsi="Calibri" w:cs="Arial"/>
          <w:lang w:eastAsia="pl-PL"/>
        </w:rPr>
        <w:t xml:space="preserve">ostawa, montaż oraz serwis gwarancyjny  </w:t>
      </w:r>
      <w:r w:rsidRPr="009E7E6D">
        <w:rPr>
          <w:rFonts w:ascii="Calibri" w:eastAsia="Times New Roman" w:hAnsi="Calibri" w:cs="Times New Roman"/>
          <w:lang w:eastAsia="pl-PL"/>
        </w:rPr>
        <w:t xml:space="preserve"> regałów archiwalnych przeznaczonych dla Sądu Rejonowego w Białymstoku, </w:t>
      </w:r>
      <w:r w:rsidRPr="009E7E6D">
        <w:rPr>
          <w:rFonts w:ascii="Calibri" w:eastAsia="Times New Roman" w:hAnsi="Calibri" w:cs="Times New Roman"/>
          <w:bCs/>
          <w:lang w:eastAsia="pl-PL"/>
        </w:rPr>
        <w:t>ul. Mickiewicza 103,</w:t>
      </w:r>
      <w:r w:rsidRPr="009E7E6D">
        <w:rPr>
          <w:rFonts w:ascii="Calibri" w:eastAsia="Times New Roman" w:hAnsi="Calibri" w:cs="Verdana"/>
          <w:b/>
          <w:bCs/>
          <w:lang w:eastAsia="pl-PL"/>
        </w:rPr>
        <w:t xml:space="preserve"> </w:t>
      </w:r>
      <w:r>
        <w:rPr>
          <w:rFonts w:ascii="Calibri" w:eastAsia="Times New Roman" w:hAnsi="Calibri" w:cs="Verdana"/>
          <w:b/>
          <w:bCs/>
          <w:lang w:eastAsia="pl-PL"/>
        </w:rPr>
        <w:t xml:space="preserve">     </w:t>
      </w:r>
      <w:r w:rsidRPr="009E7E6D">
        <w:rPr>
          <w:rFonts w:ascii="Calibri" w:eastAsia="Times New Roman" w:hAnsi="Calibri" w:cs="Times New Roman"/>
          <w:bCs/>
          <w:lang w:eastAsia="pl-PL"/>
        </w:rPr>
        <w:t xml:space="preserve">15-950 Białystok </w:t>
      </w:r>
      <w:r w:rsidRPr="009E7E6D">
        <w:rPr>
          <w:rFonts w:ascii="Calibri" w:eastAsia="Times New Roman" w:hAnsi="Calibri" w:cs="Times New Roman"/>
          <w:lang w:eastAsia="pl-PL"/>
        </w:rPr>
        <w:t xml:space="preserve">. </w:t>
      </w:r>
    </w:p>
    <w:p w:rsidR="009E7E6D" w:rsidRPr="009E7E6D" w:rsidRDefault="009E7E6D" w:rsidP="009E7E6D">
      <w:pPr>
        <w:numPr>
          <w:ilvl w:val="0"/>
          <w:numId w:val="7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Szczegółowy opis przedmiotu zamówienia :</w:t>
      </w:r>
    </w:p>
    <w:p w:rsidR="009E7E6D" w:rsidRPr="009E7E6D" w:rsidRDefault="009E7E6D" w:rsidP="009E7E6D">
      <w:pPr>
        <w:spacing w:after="0" w:line="240" w:lineRule="auto"/>
        <w:ind w:left="567"/>
        <w:jc w:val="both"/>
        <w:rPr>
          <w:rFonts w:ascii="Calibri" w:eastAsia="Times New Roman" w:hAnsi="Calibri" w:cs="Times New Roman"/>
          <w:lang w:eastAsia="pl-PL"/>
        </w:rPr>
      </w:pPr>
    </w:p>
    <w:p w:rsidR="009E7E6D" w:rsidRPr="009E7E6D" w:rsidRDefault="009E7E6D" w:rsidP="009E7E6D">
      <w:pPr>
        <w:spacing w:after="0" w:line="240" w:lineRule="auto"/>
        <w:ind w:left="720"/>
        <w:jc w:val="both"/>
        <w:rPr>
          <w:rFonts w:ascii="Calibri" w:eastAsia="Times New Roman" w:hAnsi="Calibri" w:cs="Times New Roman"/>
          <w:b/>
          <w:u w:val="single"/>
          <w:lang w:eastAsia="pl-PL"/>
        </w:rPr>
      </w:pPr>
      <w:r w:rsidRPr="009E7E6D">
        <w:rPr>
          <w:rFonts w:ascii="Calibri" w:eastAsia="Times New Roman" w:hAnsi="Calibri" w:cs="Times New Roman"/>
          <w:b/>
          <w:u w:val="single"/>
          <w:lang w:eastAsia="pl-PL"/>
        </w:rPr>
        <w:t xml:space="preserve">Lokalizacja dostawy i montażu : Sąd Rejonowy w Białymstoku </w:t>
      </w:r>
    </w:p>
    <w:p w:rsidR="009E7E6D" w:rsidRPr="009E7E6D" w:rsidRDefault="009E7E6D" w:rsidP="009E7E6D">
      <w:pPr>
        <w:spacing w:after="0" w:line="240" w:lineRule="auto"/>
        <w:ind w:left="720"/>
        <w:jc w:val="both"/>
        <w:rPr>
          <w:rFonts w:ascii="Calibri" w:eastAsia="Times New Roman" w:hAnsi="Calibri" w:cs="Times New Roman"/>
          <w:b/>
          <w:u w:val="single"/>
          <w:lang w:eastAsia="pl-PL"/>
        </w:rPr>
      </w:pPr>
    </w:p>
    <w:p w:rsidR="009E7E6D" w:rsidRPr="009E7E6D" w:rsidRDefault="009E7E6D" w:rsidP="009E7E6D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Zadanie polega na kompleksowym wyposażeniu pomieszczenia Sądu</w:t>
      </w:r>
      <w:r>
        <w:rPr>
          <w:rFonts w:ascii="Calibri" w:eastAsia="Times New Roman" w:hAnsi="Calibri" w:cs="Times New Roman"/>
          <w:lang w:eastAsia="pl-PL"/>
        </w:rPr>
        <w:t xml:space="preserve"> Rejonowego w Białymstoku,  w 11</w:t>
      </w:r>
      <w:r w:rsidRPr="009E7E6D">
        <w:rPr>
          <w:rFonts w:ascii="Calibri" w:eastAsia="Times New Roman" w:hAnsi="Calibri" w:cs="Times New Roman"/>
          <w:lang w:eastAsia="pl-PL"/>
        </w:rPr>
        <w:t xml:space="preserve"> </w:t>
      </w:r>
      <w:r>
        <w:rPr>
          <w:rFonts w:ascii="Calibri" w:eastAsia="Times New Roman" w:hAnsi="Calibri" w:cs="Times New Roman"/>
          <w:lang w:eastAsia="pl-PL"/>
        </w:rPr>
        <w:t>(jede</w:t>
      </w:r>
      <w:r w:rsidRPr="009E7E6D">
        <w:rPr>
          <w:rFonts w:ascii="Calibri" w:eastAsia="Times New Roman" w:hAnsi="Calibri" w:cs="Times New Roman"/>
          <w:lang w:eastAsia="pl-PL"/>
        </w:rPr>
        <w:t xml:space="preserve">naście) regałów archiwalnych przejezdnych </w:t>
      </w:r>
      <w:r>
        <w:rPr>
          <w:rFonts w:ascii="Calibri" w:eastAsia="Times New Roman" w:hAnsi="Calibri" w:cs="Times New Roman"/>
          <w:lang w:eastAsia="pl-PL"/>
        </w:rPr>
        <w:t>na akta zawieszkowe</w:t>
      </w:r>
      <w:r w:rsidRPr="009E7E6D">
        <w:rPr>
          <w:rFonts w:ascii="Calibri" w:eastAsia="Times New Roman" w:hAnsi="Calibri" w:cs="Times New Roman"/>
          <w:lang w:eastAsia="pl-PL"/>
        </w:rPr>
        <w:t xml:space="preserve"> długości </w:t>
      </w:r>
      <w:r>
        <w:rPr>
          <w:rFonts w:ascii="Calibri" w:eastAsia="Times New Roman" w:hAnsi="Calibri" w:cs="Times New Roman"/>
          <w:lang w:eastAsia="pl-PL"/>
        </w:rPr>
        <w:t>3,6</w:t>
      </w:r>
      <w:r w:rsidRPr="009E7E6D">
        <w:rPr>
          <w:rFonts w:ascii="Calibri" w:eastAsia="Times New Roman" w:hAnsi="Calibri" w:cs="Times New Roman"/>
          <w:lang w:eastAsia="pl-PL"/>
        </w:rPr>
        <w:t xml:space="preserve"> </w:t>
      </w:r>
      <w:proofErr w:type="spellStart"/>
      <w:r w:rsidRPr="009E7E6D">
        <w:rPr>
          <w:rFonts w:ascii="Calibri" w:eastAsia="Times New Roman" w:hAnsi="Calibri" w:cs="Times New Roman"/>
          <w:lang w:eastAsia="pl-PL"/>
        </w:rPr>
        <w:t>mb</w:t>
      </w:r>
      <w:proofErr w:type="spellEnd"/>
      <w:r>
        <w:rPr>
          <w:rFonts w:ascii="Calibri" w:eastAsia="Times New Roman" w:hAnsi="Calibri" w:cs="Times New Roman"/>
          <w:lang w:eastAsia="pl-PL"/>
        </w:rPr>
        <w:t xml:space="preserve"> </w:t>
      </w:r>
      <w:r w:rsidRPr="009E7E6D">
        <w:rPr>
          <w:rFonts w:ascii="Calibri" w:eastAsia="Times New Roman" w:hAnsi="Calibri" w:cs="Times New Roman"/>
          <w:lang w:eastAsia="pl-PL"/>
        </w:rPr>
        <w:t xml:space="preserve"> (</w:t>
      </w:r>
      <w:r>
        <w:rPr>
          <w:rFonts w:ascii="Calibri" w:eastAsia="Times New Roman" w:hAnsi="Calibri" w:cs="Times New Roman"/>
          <w:lang w:eastAsia="pl-PL"/>
        </w:rPr>
        <w:t xml:space="preserve">trzy segmenty po 120 cm). </w:t>
      </w:r>
      <w:r w:rsidRPr="009E7E6D">
        <w:rPr>
          <w:rFonts w:ascii="Calibri" w:eastAsia="Times New Roman" w:hAnsi="Calibri" w:cs="Times New Roman"/>
          <w:lang w:eastAsia="pl-PL"/>
        </w:rPr>
        <w:t>W</w:t>
      </w:r>
      <w:r>
        <w:rPr>
          <w:rFonts w:ascii="Calibri" w:eastAsia="Times New Roman" w:hAnsi="Calibri" w:cs="Times New Roman"/>
          <w:lang w:eastAsia="pl-PL"/>
        </w:rPr>
        <w:t xml:space="preserve"> </w:t>
      </w:r>
      <w:r w:rsidRPr="009E7E6D">
        <w:rPr>
          <w:rFonts w:ascii="Calibri" w:eastAsia="Times New Roman" w:hAnsi="Calibri" w:cs="Times New Roman"/>
          <w:lang w:eastAsia="pl-PL"/>
        </w:rPr>
        <w:t>chwili obecnej przedmiotowe pomieszczenie pełni funkcję magazynu gospodarczego. Zlokalizowane jest w czę</w:t>
      </w:r>
      <w:r>
        <w:rPr>
          <w:rFonts w:ascii="Calibri" w:eastAsia="Times New Roman" w:hAnsi="Calibri" w:cs="Times New Roman"/>
          <w:lang w:eastAsia="pl-PL"/>
        </w:rPr>
        <w:t xml:space="preserve">ści piwnicznej segmentu </w:t>
      </w:r>
      <w:r w:rsidR="00AA1FAC">
        <w:rPr>
          <w:rFonts w:ascii="Calibri" w:eastAsia="Times New Roman" w:hAnsi="Calibri" w:cs="Times New Roman"/>
          <w:lang w:eastAsia="pl-PL"/>
        </w:rPr>
        <w:t xml:space="preserve">C </w:t>
      </w:r>
      <w:r>
        <w:rPr>
          <w:rFonts w:ascii="Calibri" w:eastAsia="Times New Roman" w:hAnsi="Calibri" w:cs="Times New Roman"/>
          <w:lang w:eastAsia="pl-PL"/>
        </w:rPr>
        <w:t>i maja</w:t>
      </w:r>
      <w:r w:rsidRPr="009E7E6D">
        <w:rPr>
          <w:rFonts w:ascii="Calibri" w:eastAsia="Times New Roman" w:hAnsi="Calibri" w:cs="Times New Roman"/>
          <w:lang w:eastAsia="pl-PL"/>
        </w:rPr>
        <w:t xml:space="preserve"> powierzchnię ok. 51 m². Wysokość w stanie wykończonym wynosi w najwyższym miejscu od 3,02 do 3,04 m. W pomieszczeniu występują elementy instalacji zabudowane płytą g-k. Ściany i sufity magazynu wykończone są tynkiem cementowo-wapiennym, natomiast posadzki wykonane są z płytek </w:t>
      </w:r>
      <w:proofErr w:type="spellStart"/>
      <w:r w:rsidRPr="009E7E6D">
        <w:rPr>
          <w:rFonts w:ascii="Calibri" w:eastAsia="Times New Roman" w:hAnsi="Calibri" w:cs="Times New Roman"/>
          <w:lang w:eastAsia="pl-PL"/>
        </w:rPr>
        <w:t>gresowych</w:t>
      </w:r>
      <w:proofErr w:type="spellEnd"/>
      <w:r w:rsidRPr="009E7E6D">
        <w:rPr>
          <w:rFonts w:ascii="Calibri" w:eastAsia="Times New Roman" w:hAnsi="Calibri" w:cs="Times New Roman"/>
          <w:lang w:eastAsia="pl-PL"/>
        </w:rPr>
        <w:t xml:space="preserve">. Na wyposażeniu znajduje się także instalacja elektryczna oraz system wentylacji mechanicznej </w:t>
      </w:r>
      <w:proofErr w:type="spellStart"/>
      <w:r w:rsidRPr="009E7E6D">
        <w:rPr>
          <w:rFonts w:ascii="Calibri" w:eastAsia="Times New Roman" w:hAnsi="Calibri" w:cs="Times New Roman"/>
          <w:lang w:eastAsia="pl-PL"/>
        </w:rPr>
        <w:t>nawiewno</w:t>
      </w:r>
      <w:proofErr w:type="spellEnd"/>
      <w:r w:rsidRPr="009E7E6D">
        <w:rPr>
          <w:rFonts w:ascii="Calibri" w:eastAsia="Times New Roman" w:hAnsi="Calibri" w:cs="Times New Roman"/>
          <w:lang w:eastAsia="pl-PL"/>
        </w:rPr>
        <w:t xml:space="preserve"> - wywiewnej. Pomieszczenie ma być docelowo zaadoptowane na składnicę akt Archiwum </w:t>
      </w:r>
      <w:r>
        <w:rPr>
          <w:rFonts w:ascii="Calibri" w:eastAsia="Times New Roman" w:hAnsi="Calibri" w:cs="Times New Roman"/>
          <w:lang w:eastAsia="pl-PL"/>
        </w:rPr>
        <w:t xml:space="preserve">Wydziałowego. </w:t>
      </w:r>
      <w:r w:rsidRPr="009E7E6D">
        <w:rPr>
          <w:rFonts w:ascii="Calibri" w:eastAsia="Times New Roman" w:hAnsi="Calibri" w:cs="Times New Roman"/>
          <w:lang w:eastAsia="pl-PL"/>
        </w:rPr>
        <w:t xml:space="preserve"> Planowane usytuowanie regałów przedstawiono na w załączniku nr 1 do opisu przedmiotu zamówienia.</w:t>
      </w:r>
    </w:p>
    <w:p w:rsidR="009E7E6D" w:rsidRPr="009E7E6D" w:rsidRDefault="009E7E6D" w:rsidP="009E7E6D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Zakres prac będzie obejmował :</w:t>
      </w:r>
    </w:p>
    <w:p w:rsidR="009E7E6D" w:rsidRPr="009E7E6D" w:rsidRDefault="009E7E6D" w:rsidP="009E7E6D">
      <w:pPr>
        <w:numPr>
          <w:ilvl w:val="0"/>
          <w:numId w:val="8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Przygotowanie posadzki pod osadzenie wpuszczanych torów jezdnych (a w szczególności wycięcie bruzd, wykucie podkładu cementowego, wyrównanie i wzmocnienie podłoża). Zamawiający wymaga aby wykonawca używał przy powyższych pracach narzędzi z odsysaniem pyłu.</w:t>
      </w:r>
    </w:p>
    <w:p w:rsidR="009E7E6D" w:rsidRPr="009E7E6D" w:rsidRDefault="009E7E6D" w:rsidP="009E7E6D">
      <w:pPr>
        <w:numPr>
          <w:ilvl w:val="0"/>
          <w:numId w:val="8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Montaż wpuszczanych, stalowych torów jezdnych wraz z elementami układu napędu (łańcuch).</w:t>
      </w:r>
    </w:p>
    <w:p w:rsidR="009E7E6D" w:rsidRPr="009E7E6D" w:rsidRDefault="009E7E6D" w:rsidP="009E7E6D">
      <w:pPr>
        <w:numPr>
          <w:ilvl w:val="0"/>
          <w:numId w:val="8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 xml:space="preserve">Dostarczenie i kompleksowy montaż </w:t>
      </w:r>
      <w:r>
        <w:rPr>
          <w:rFonts w:ascii="Calibri" w:eastAsia="Times New Roman" w:hAnsi="Calibri" w:cs="Times New Roman"/>
          <w:lang w:eastAsia="pl-PL"/>
        </w:rPr>
        <w:t>jedenastu</w:t>
      </w:r>
      <w:r w:rsidRPr="009E7E6D">
        <w:rPr>
          <w:rFonts w:ascii="Calibri" w:eastAsia="Times New Roman" w:hAnsi="Calibri" w:cs="Times New Roman"/>
          <w:lang w:eastAsia="pl-PL"/>
        </w:rPr>
        <w:t xml:space="preserve"> regałów jezdnych na przygotowanym torowisku</w:t>
      </w:r>
    </w:p>
    <w:p w:rsidR="009E7E6D" w:rsidRPr="009E7E6D" w:rsidRDefault="009E7E6D" w:rsidP="009E7E6D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Wymagania dla regałów jezdnych:</w:t>
      </w:r>
    </w:p>
    <w:p w:rsidR="009E7E6D" w:rsidRPr="009E7E6D" w:rsidRDefault="009E7E6D" w:rsidP="009E7E6D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Tory wykonane ze stali wyższej jakości, ocynkowane elektrolitycznie i </w:t>
      </w:r>
      <w:proofErr w:type="spellStart"/>
      <w:r w:rsidRPr="009E7E6D">
        <w:rPr>
          <w:rFonts w:ascii="Calibri" w:eastAsia="Times New Roman" w:hAnsi="Calibri" w:cs="Times New Roman"/>
          <w:lang w:eastAsia="pl-PL"/>
        </w:rPr>
        <w:t>pasywowane</w:t>
      </w:r>
      <w:proofErr w:type="spellEnd"/>
    </w:p>
    <w:p w:rsidR="009E7E6D" w:rsidRPr="009E7E6D" w:rsidRDefault="009E7E6D" w:rsidP="009E7E6D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 xml:space="preserve">Bieżnia torów wypoziomowana z dokładnością nie gorszą niż 1 mm/ 1 </w:t>
      </w:r>
      <w:proofErr w:type="spellStart"/>
      <w:r w:rsidRPr="009E7E6D">
        <w:rPr>
          <w:rFonts w:ascii="Calibri" w:eastAsia="Times New Roman" w:hAnsi="Calibri" w:cs="Times New Roman"/>
          <w:lang w:eastAsia="pl-PL"/>
        </w:rPr>
        <w:t>mb</w:t>
      </w:r>
      <w:proofErr w:type="spellEnd"/>
      <w:r w:rsidRPr="009E7E6D">
        <w:rPr>
          <w:rFonts w:ascii="Calibri" w:eastAsia="Times New Roman" w:hAnsi="Calibri" w:cs="Times New Roman"/>
          <w:lang w:eastAsia="pl-PL"/>
        </w:rPr>
        <w:t xml:space="preserve"> toru</w:t>
      </w:r>
    </w:p>
    <w:p w:rsidR="009E7E6D" w:rsidRPr="009E7E6D" w:rsidRDefault="009E7E6D" w:rsidP="009E7E6D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Ramy regałów wykonane z profilów dostosowanych wytrzymałościowo do przenoszenia obciążeń dla maksymalnych obciążeń regału przechowywanymi aktami.</w:t>
      </w:r>
    </w:p>
    <w:p w:rsidR="009E7E6D" w:rsidRPr="009E7E6D" w:rsidRDefault="009E7E6D" w:rsidP="009E7E6D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Wysokość całkowita regału (łącznie z podsta</w:t>
      </w:r>
      <w:r w:rsidR="00E62999">
        <w:rPr>
          <w:rFonts w:ascii="Calibri" w:eastAsia="Times New Roman" w:hAnsi="Calibri" w:cs="Times New Roman"/>
          <w:lang w:eastAsia="pl-PL"/>
        </w:rPr>
        <w:t>wą jezdną) - nie więcej niż 2,40</w:t>
      </w:r>
      <w:r w:rsidRPr="009E7E6D">
        <w:rPr>
          <w:rFonts w:ascii="Calibri" w:eastAsia="Times New Roman" w:hAnsi="Calibri" w:cs="Times New Roman"/>
          <w:lang w:eastAsia="pl-PL"/>
        </w:rPr>
        <w:t xml:space="preserve"> m (licząc od posadzki do najwyżej usytuowanego górnego elementu). </w:t>
      </w:r>
    </w:p>
    <w:p w:rsidR="009E7E6D" w:rsidRPr="009E7E6D" w:rsidRDefault="009E7E6D" w:rsidP="009E7E6D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lastRenderedPageBreak/>
        <w:t>Rozstaw pionowy pół</w:t>
      </w:r>
      <w:r w:rsidR="00E62999">
        <w:rPr>
          <w:rFonts w:ascii="Calibri" w:eastAsia="Times New Roman" w:hAnsi="Calibri" w:cs="Times New Roman"/>
          <w:lang w:eastAsia="pl-PL"/>
        </w:rPr>
        <w:t xml:space="preserve">ek </w:t>
      </w:r>
      <w:r w:rsidR="00762AC2">
        <w:rPr>
          <w:rFonts w:ascii="Calibri" w:eastAsia="Times New Roman" w:hAnsi="Calibri" w:cs="Times New Roman"/>
          <w:lang w:eastAsia="pl-PL"/>
        </w:rPr>
        <w:t xml:space="preserve">(szuflad) </w:t>
      </w:r>
      <w:r w:rsidR="00E62999">
        <w:rPr>
          <w:rFonts w:ascii="Calibri" w:eastAsia="Times New Roman" w:hAnsi="Calibri" w:cs="Times New Roman"/>
          <w:lang w:eastAsia="pl-PL"/>
        </w:rPr>
        <w:t>(prześwit) – nie mniej niż 33</w:t>
      </w:r>
      <w:r w:rsidRPr="009E7E6D">
        <w:rPr>
          <w:rFonts w:ascii="Calibri" w:eastAsia="Times New Roman" w:hAnsi="Calibri" w:cs="Times New Roman"/>
          <w:lang w:eastAsia="pl-PL"/>
        </w:rPr>
        <w:t xml:space="preserve"> cm (odległość między płaszczyzną półki a dolną krawędzią półki wyższej)  </w:t>
      </w:r>
    </w:p>
    <w:p w:rsidR="009E7E6D" w:rsidRDefault="00E62999" w:rsidP="009E7E6D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>Głębokość półki nie mniej niż 37</w:t>
      </w:r>
      <w:r w:rsidR="009E7E6D" w:rsidRPr="009E7E6D">
        <w:rPr>
          <w:rFonts w:ascii="Calibri" w:eastAsia="Times New Roman" w:hAnsi="Calibri" w:cs="Times New Roman"/>
          <w:lang w:eastAsia="pl-PL"/>
        </w:rPr>
        <w:t xml:space="preserve"> cm</w:t>
      </w:r>
    </w:p>
    <w:p w:rsidR="00762AC2" w:rsidRDefault="00762AC2" w:rsidP="009E7E6D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>Półki wyposażone w wysuwane szuflady, przeznaczone do przechowywania akt zawieszkowych o długości zawieszki od 32  do 35 cm</w:t>
      </w:r>
    </w:p>
    <w:p w:rsidR="00762AC2" w:rsidRDefault="00762AC2" w:rsidP="00762AC2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 xml:space="preserve">Mechanizm </w:t>
      </w:r>
      <w:proofErr w:type="spellStart"/>
      <w:r>
        <w:rPr>
          <w:rFonts w:ascii="Calibri" w:eastAsia="Times New Roman" w:hAnsi="Calibri" w:cs="Times New Roman"/>
          <w:lang w:eastAsia="pl-PL"/>
        </w:rPr>
        <w:t>uniemożliwający</w:t>
      </w:r>
      <w:proofErr w:type="spellEnd"/>
      <w:r>
        <w:rPr>
          <w:rFonts w:ascii="Calibri" w:eastAsia="Times New Roman" w:hAnsi="Calibri" w:cs="Times New Roman"/>
          <w:lang w:eastAsia="pl-PL"/>
        </w:rPr>
        <w:t xml:space="preserve"> równoczesne wysunięcie więcej niż jednej szuflady w kolumnie.</w:t>
      </w:r>
    </w:p>
    <w:p w:rsidR="009E7E6D" w:rsidRPr="009E7E6D" w:rsidRDefault="00E62999" w:rsidP="009E7E6D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>Nośność półek</w:t>
      </w:r>
      <w:r w:rsidR="00762AC2">
        <w:rPr>
          <w:rFonts w:ascii="Calibri" w:eastAsia="Times New Roman" w:hAnsi="Calibri" w:cs="Times New Roman"/>
          <w:lang w:eastAsia="pl-PL"/>
        </w:rPr>
        <w:t xml:space="preserve"> (szuflad)</w:t>
      </w:r>
      <w:r>
        <w:rPr>
          <w:rFonts w:ascii="Calibri" w:eastAsia="Times New Roman" w:hAnsi="Calibri" w:cs="Times New Roman"/>
          <w:lang w:eastAsia="pl-PL"/>
        </w:rPr>
        <w:t>: minimum 80</w:t>
      </w:r>
      <w:r w:rsidR="009E7E6D" w:rsidRPr="009E7E6D">
        <w:rPr>
          <w:rFonts w:ascii="Calibri" w:eastAsia="Times New Roman" w:hAnsi="Calibri" w:cs="Times New Roman"/>
          <w:lang w:eastAsia="pl-PL"/>
        </w:rPr>
        <w:t xml:space="preserve"> kg/1mb potwierdzona atestem Instytutu Mechaniki Precyzyjnej.</w:t>
      </w:r>
    </w:p>
    <w:p w:rsidR="009E7E6D" w:rsidRPr="009E7E6D" w:rsidRDefault="009E7E6D" w:rsidP="009E7E6D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Konstrukcja zaczepów półek wykluczająca przypadkowe wypadanie zaczepów z otworów i umożliwiająca zawieszanie półek bez użycia narzędzi,  z możliwością regulacji wysokości półki co maksimum 2,5cm.</w:t>
      </w:r>
    </w:p>
    <w:p w:rsidR="009E7E6D" w:rsidRPr="009E7E6D" w:rsidRDefault="009E7E6D" w:rsidP="009E7E6D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Wszystkie elementy regału winny być odtłuszczone, fosforanowane i malowane w kolorze RAL 9002 lub zbliżonym.</w:t>
      </w:r>
    </w:p>
    <w:p w:rsidR="009E7E6D" w:rsidRPr="009E7E6D" w:rsidRDefault="009E7E6D" w:rsidP="009E7E6D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Wszystkie połączenia śrubowe (śruby, nakrętki, podkładki) winny być wykonane z elementów ocynkowanych i </w:t>
      </w:r>
      <w:proofErr w:type="spellStart"/>
      <w:r w:rsidRPr="009E7E6D">
        <w:rPr>
          <w:rFonts w:ascii="Calibri" w:eastAsia="Times New Roman" w:hAnsi="Calibri" w:cs="Times New Roman"/>
          <w:lang w:eastAsia="pl-PL"/>
        </w:rPr>
        <w:t>pasywowanych</w:t>
      </w:r>
      <w:proofErr w:type="spellEnd"/>
      <w:r w:rsidRPr="009E7E6D">
        <w:rPr>
          <w:rFonts w:ascii="Calibri" w:eastAsia="Times New Roman" w:hAnsi="Calibri" w:cs="Times New Roman"/>
          <w:lang w:eastAsia="pl-PL"/>
        </w:rPr>
        <w:t>.</w:t>
      </w:r>
    </w:p>
    <w:p w:rsidR="009E7E6D" w:rsidRPr="009E7E6D" w:rsidRDefault="009E7E6D" w:rsidP="009E7E6D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Koła jezdne wykonane ze stali, ocynkowanej galwanicznie i </w:t>
      </w:r>
      <w:proofErr w:type="spellStart"/>
      <w:r w:rsidRPr="009E7E6D">
        <w:rPr>
          <w:rFonts w:ascii="Calibri" w:eastAsia="Times New Roman" w:hAnsi="Calibri" w:cs="Times New Roman"/>
          <w:lang w:eastAsia="pl-PL"/>
        </w:rPr>
        <w:t>pasywowane</w:t>
      </w:r>
      <w:proofErr w:type="spellEnd"/>
      <w:r w:rsidRPr="009E7E6D">
        <w:rPr>
          <w:rFonts w:ascii="Calibri" w:eastAsia="Times New Roman" w:hAnsi="Calibri" w:cs="Times New Roman"/>
          <w:lang w:eastAsia="pl-PL"/>
        </w:rPr>
        <w:t>, osadzone na cichobieżnych bezobsługowych łożyskach z własnym zapasem smaru.</w:t>
      </w:r>
    </w:p>
    <w:p w:rsidR="009E7E6D" w:rsidRPr="00D2490A" w:rsidRDefault="009E7E6D" w:rsidP="009E7E6D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u w:val="single"/>
          <w:lang w:eastAsia="pl-PL"/>
        </w:rPr>
      </w:pPr>
      <w:r w:rsidRPr="00D2490A">
        <w:rPr>
          <w:rFonts w:ascii="Calibri" w:eastAsia="Times New Roman" w:hAnsi="Calibri" w:cs="Times New Roman"/>
          <w:u w:val="single"/>
          <w:lang w:eastAsia="pl-PL"/>
        </w:rPr>
        <w:t xml:space="preserve">Konstrukcja regału i technologia montażu powinna umożliwiać wykonanie wymiany </w:t>
      </w:r>
      <w:r w:rsidR="00762AC2">
        <w:rPr>
          <w:rFonts w:ascii="Calibri" w:eastAsia="Times New Roman" w:hAnsi="Calibri" w:cs="Times New Roman"/>
          <w:u w:val="single"/>
          <w:lang w:eastAsia="pl-PL"/>
        </w:rPr>
        <w:t xml:space="preserve">kół </w:t>
      </w:r>
      <w:r w:rsidR="00762AC2" w:rsidRPr="00D2490A">
        <w:rPr>
          <w:rFonts w:ascii="Calibri" w:eastAsia="Times New Roman" w:hAnsi="Calibri" w:cs="Times New Roman"/>
          <w:u w:val="single"/>
          <w:lang w:eastAsia="pl-PL"/>
        </w:rPr>
        <w:t xml:space="preserve"> jezdn</w:t>
      </w:r>
      <w:r w:rsidR="00762AC2">
        <w:rPr>
          <w:rFonts w:ascii="Calibri" w:eastAsia="Times New Roman" w:hAnsi="Calibri" w:cs="Times New Roman"/>
          <w:u w:val="single"/>
          <w:lang w:eastAsia="pl-PL"/>
        </w:rPr>
        <w:t>ych</w:t>
      </w:r>
      <w:r w:rsidR="00762AC2" w:rsidRPr="00D2490A">
        <w:rPr>
          <w:rFonts w:ascii="Calibri" w:eastAsia="Times New Roman" w:hAnsi="Calibri" w:cs="Times New Roman"/>
          <w:u w:val="single"/>
          <w:lang w:eastAsia="pl-PL"/>
        </w:rPr>
        <w:t xml:space="preserve"> </w:t>
      </w:r>
      <w:r w:rsidRPr="00D2490A">
        <w:rPr>
          <w:rFonts w:ascii="Calibri" w:eastAsia="Times New Roman" w:hAnsi="Calibri" w:cs="Times New Roman"/>
          <w:u w:val="single"/>
          <w:lang w:eastAsia="pl-PL"/>
        </w:rPr>
        <w:t>bez konieczności podnoszenia regału</w:t>
      </w:r>
    </w:p>
    <w:p w:rsidR="009E7E6D" w:rsidRPr="009E7E6D" w:rsidRDefault="009E7E6D" w:rsidP="009E7E6D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Prowadzenie regału winno być realizowane  odpowiednio wyprofilowanymi kołami jezdnymi toczącymi się po dostosowanej do  profilu koła  bieżni toru</w:t>
      </w:r>
    </w:p>
    <w:p w:rsidR="009E7E6D" w:rsidRPr="009E7E6D" w:rsidRDefault="009E7E6D" w:rsidP="009E7E6D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proofErr w:type="spellStart"/>
      <w:r w:rsidRPr="009E7E6D">
        <w:rPr>
          <w:rFonts w:ascii="Calibri" w:eastAsia="Times New Roman" w:hAnsi="Calibri" w:cs="Times New Roman"/>
          <w:lang w:eastAsia="pl-PL"/>
        </w:rPr>
        <w:t>Beztarciowe</w:t>
      </w:r>
      <w:proofErr w:type="spellEnd"/>
      <w:r w:rsidRPr="009E7E6D">
        <w:rPr>
          <w:rFonts w:ascii="Calibri" w:eastAsia="Times New Roman" w:hAnsi="Calibri" w:cs="Times New Roman"/>
          <w:lang w:eastAsia="pl-PL"/>
        </w:rPr>
        <w:t xml:space="preserve"> przeniesienie napędu gwarantujące równomierne przemieszczanie się regałów po torach niezależnie od stopnia obciążenia</w:t>
      </w:r>
    </w:p>
    <w:p w:rsidR="009E7E6D" w:rsidRPr="009E7E6D" w:rsidRDefault="009E7E6D" w:rsidP="009E7E6D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Sztywność regału zapewniona przez zastosowanie odpowiednich stężeń</w:t>
      </w:r>
    </w:p>
    <w:p w:rsidR="009E7E6D" w:rsidRDefault="009E7E6D" w:rsidP="009E7E6D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Ściany regałów o podwyższonej sztywności i odporności na wyboczenia</w:t>
      </w:r>
    </w:p>
    <w:p w:rsidR="00E62999" w:rsidRDefault="00E62999" w:rsidP="00E62999">
      <w:pPr>
        <w:pStyle w:val="Akapitzlist"/>
        <w:numPr>
          <w:ilvl w:val="0"/>
          <w:numId w:val="9"/>
        </w:numPr>
        <w:rPr>
          <w:rFonts w:ascii="Calibri" w:eastAsia="Times New Roman" w:hAnsi="Calibri" w:cs="Times New Roman"/>
          <w:lang w:eastAsia="pl-PL"/>
        </w:rPr>
      </w:pPr>
      <w:r w:rsidRPr="00E62999">
        <w:rPr>
          <w:rFonts w:ascii="Calibri" w:eastAsia="Times New Roman" w:hAnsi="Calibri" w:cs="Times New Roman"/>
          <w:lang w:eastAsia="pl-PL"/>
        </w:rPr>
        <w:t>Korba napędowa trójramienna wykonana z materiałów zapobiegających poślizgowi dłoni podczas obracania korbą. Wyposażona we włącznik umożliwiający zablokowanie r</w:t>
      </w:r>
      <w:r>
        <w:rPr>
          <w:rFonts w:ascii="Calibri" w:eastAsia="Times New Roman" w:hAnsi="Calibri" w:cs="Times New Roman"/>
          <w:lang w:eastAsia="pl-PL"/>
        </w:rPr>
        <w:t>uchu regału (centralna blokada)</w:t>
      </w:r>
    </w:p>
    <w:p w:rsidR="003C38FF" w:rsidRDefault="003C38FF" w:rsidP="00E62999">
      <w:pPr>
        <w:pStyle w:val="Akapitzlist"/>
        <w:numPr>
          <w:ilvl w:val="0"/>
          <w:numId w:val="9"/>
        </w:numPr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 xml:space="preserve">Ściany działowe: stężenia krzyżowe plus tylne listwy </w:t>
      </w:r>
      <w:proofErr w:type="spellStart"/>
      <w:r>
        <w:rPr>
          <w:rFonts w:ascii="Calibri" w:eastAsia="Times New Roman" w:hAnsi="Calibri" w:cs="Times New Roman"/>
          <w:lang w:eastAsia="pl-PL"/>
        </w:rPr>
        <w:t>zapółkowe</w:t>
      </w:r>
      <w:proofErr w:type="spellEnd"/>
    </w:p>
    <w:p w:rsidR="009E7E6D" w:rsidRPr="00E62999" w:rsidRDefault="009E7E6D" w:rsidP="00E62999">
      <w:pPr>
        <w:pStyle w:val="Akapitzlist"/>
        <w:numPr>
          <w:ilvl w:val="0"/>
          <w:numId w:val="9"/>
        </w:numPr>
        <w:rPr>
          <w:rFonts w:ascii="Calibri" w:eastAsia="Times New Roman" w:hAnsi="Calibri" w:cs="Times New Roman"/>
          <w:lang w:eastAsia="pl-PL"/>
        </w:rPr>
      </w:pPr>
      <w:r w:rsidRPr="00E62999">
        <w:rPr>
          <w:rFonts w:ascii="Calibri" w:eastAsia="Times New Roman" w:hAnsi="Calibri" w:cs="Times New Roman"/>
          <w:lang w:eastAsia="pl-PL"/>
        </w:rPr>
        <w:t>Gwarancja 5 lat. Serwis gwarancyjny i pogwarancyjny. Czas naprawy zgłoszonej usterki nie dłuższy niż 48 godzin od chwili zgłoszenia.</w:t>
      </w:r>
    </w:p>
    <w:p w:rsidR="009E7E6D" w:rsidRPr="009E7E6D" w:rsidRDefault="009E7E6D" w:rsidP="009E7E6D">
      <w:pPr>
        <w:spacing w:after="0" w:line="240" w:lineRule="auto"/>
        <w:jc w:val="both"/>
        <w:rPr>
          <w:rFonts w:ascii="Calibri" w:eastAsia="Times New Roman" w:hAnsi="Calibri" w:cs="Times New Roman"/>
          <w:b/>
          <w:u w:val="single"/>
          <w:lang w:eastAsia="pl-PL"/>
        </w:rPr>
      </w:pPr>
      <w:r w:rsidRPr="009E7E6D">
        <w:rPr>
          <w:rFonts w:ascii="Calibri" w:eastAsia="Times New Roman" w:hAnsi="Calibri" w:cs="Times New Roman"/>
          <w:b/>
          <w:u w:val="single"/>
          <w:lang w:eastAsia="pl-PL"/>
        </w:rPr>
        <w:t xml:space="preserve">Pożądana jest wizja lokalna w lokalizacji dostawy i montażu regałów. Osobą upoważnioną do kontaktu w Sądzie Rejonowym w Białymstoku jest Pan Tomasz Biesiada, Tel.693334194, mail: </w:t>
      </w:r>
      <w:hyperlink r:id="rId7" w:history="1">
        <w:r w:rsidRPr="009E7E6D">
          <w:rPr>
            <w:rFonts w:ascii="Calibri" w:eastAsia="Times New Roman" w:hAnsi="Calibri" w:cs="Times New Roman"/>
            <w:b/>
            <w:color w:val="0000FF"/>
            <w:u w:val="single"/>
            <w:lang w:eastAsia="pl-PL"/>
          </w:rPr>
          <w:t>og@bialystok.sr.gov.pl</w:t>
        </w:r>
      </w:hyperlink>
    </w:p>
    <w:p w:rsidR="009E7E6D" w:rsidRPr="009E7E6D" w:rsidRDefault="009E7E6D" w:rsidP="009E7E6D">
      <w:pPr>
        <w:spacing w:after="0" w:line="240" w:lineRule="auto"/>
        <w:ind w:left="720"/>
        <w:jc w:val="both"/>
        <w:rPr>
          <w:rFonts w:ascii="Calibri" w:eastAsia="Times New Roman" w:hAnsi="Calibri" w:cs="Times New Roman"/>
          <w:lang w:eastAsia="pl-PL"/>
        </w:rPr>
      </w:pPr>
    </w:p>
    <w:p w:rsidR="009E7E6D" w:rsidRPr="00E62999" w:rsidRDefault="009E7E6D" w:rsidP="00E62999">
      <w:pPr>
        <w:pStyle w:val="Akapitzlist"/>
        <w:keepNext/>
        <w:numPr>
          <w:ilvl w:val="0"/>
          <w:numId w:val="8"/>
        </w:numPr>
        <w:spacing w:after="0" w:line="240" w:lineRule="auto"/>
        <w:rPr>
          <w:rFonts w:ascii="Calibri" w:eastAsia="Times New Roman" w:hAnsi="Calibri" w:cs="Times New Roman"/>
          <w:b/>
          <w:bCs/>
          <w:i/>
          <w:kern w:val="32"/>
          <w:sz w:val="24"/>
          <w:szCs w:val="24"/>
          <w:lang w:eastAsia="pl-PL"/>
        </w:rPr>
      </w:pPr>
      <w:r w:rsidRPr="00E62999">
        <w:rPr>
          <w:rFonts w:ascii="Calibri" w:eastAsia="Times New Roman" w:hAnsi="Calibri" w:cs="Times New Roman"/>
          <w:b/>
          <w:i/>
          <w:sz w:val="24"/>
          <w:szCs w:val="24"/>
          <w:lang w:eastAsia="pl-PL"/>
        </w:rPr>
        <w:t xml:space="preserve"> </w:t>
      </w:r>
      <w:r w:rsidRPr="00E62999">
        <w:rPr>
          <w:rFonts w:ascii="Calibri" w:eastAsia="Times New Roman" w:hAnsi="Calibri" w:cs="Times New Roman"/>
          <w:b/>
          <w:bCs/>
          <w:i/>
          <w:kern w:val="32"/>
          <w:sz w:val="24"/>
          <w:szCs w:val="24"/>
          <w:lang w:eastAsia="pl-PL"/>
        </w:rPr>
        <w:t xml:space="preserve">Termin wykonania </w:t>
      </w:r>
    </w:p>
    <w:p w:rsidR="009E7E6D" w:rsidRPr="009E7E6D" w:rsidRDefault="009E7E6D" w:rsidP="009E7E6D">
      <w:pPr>
        <w:keepNext/>
        <w:spacing w:after="0" w:line="240" w:lineRule="auto"/>
        <w:ind w:left="1418" w:hanging="1418"/>
        <w:rPr>
          <w:rFonts w:ascii="Calibri" w:eastAsia="Times New Roman" w:hAnsi="Calibri" w:cs="Times New Roman"/>
          <w:b/>
          <w:bCs/>
          <w:i/>
          <w:kern w:val="32"/>
          <w:sz w:val="24"/>
          <w:szCs w:val="24"/>
          <w:lang w:eastAsia="pl-PL"/>
        </w:rPr>
      </w:pPr>
    </w:p>
    <w:p w:rsidR="009E7E6D" w:rsidRPr="009E7E6D" w:rsidRDefault="009E7E6D" w:rsidP="009E7E6D">
      <w:pPr>
        <w:keepNext/>
        <w:spacing w:after="0" w:line="240" w:lineRule="auto"/>
        <w:ind w:left="1418" w:hanging="1418"/>
        <w:rPr>
          <w:rFonts w:ascii="Calibri" w:eastAsia="Times New Roman" w:hAnsi="Calibri" w:cs="Times New Roman"/>
          <w:b/>
          <w:bCs/>
          <w:i/>
          <w:kern w:val="32"/>
          <w:sz w:val="24"/>
          <w:szCs w:val="24"/>
          <w:lang w:eastAsia="pl-PL"/>
        </w:rPr>
      </w:pPr>
      <w:r w:rsidRPr="009E7E6D">
        <w:rPr>
          <w:rFonts w:ascii="Calibri" w:eastAsia="Times New Roman" w:hAnsi="Calibri" w:cs="Times New Roman"/>
          <w:b/>
          <w:bCs/>
          <w:i/>
          <w:kern w:val="32"/>
          <w:sz w:val="24"/>
          <w:szCs w:val="24"/>
          <w:lang w:eastAsia="pl-PL"/>
        </w:rPr>
        <w:t xml:space="preserve">Termin wykonania </w:t>
      </w:r>
      <w:r w:rsidR="00E62999">
        <w:rPr>
          <w:rFonts w:ascii="Calibri" w:eastAsia="Times New Roman" w:hAnsi="Calibri" w:cs="Times New Roman"/>
          <w:bCs/>
          <w:kern w:val="32"/>
          <w:sz w:val="24"/>
          <w:szCs w:val="24"/>
          <w:lang w:eastAsia="pl-PL"/>
        </w:rPr>
        <w:t>do 14 grudnia 2018</w:t>
      </w:r>
      <w:r w:rsidRPr="009E7E6D">
        <w:rPr>
          <w:rFonts w:ascii="Calibri" w:eastAsia="Times New Roman" w:hAnsi="Calibri" w:cs="Times New Roman"/>
          <w:bCs/>
          <w:kern w:val="32"/>
          <w:sz w:val="24"/>
          <w:szCs w:val="24"/>
          <w:lang w:eastAsia="pl-PL"/>
        </w:rPr>
        <w:t>;</w:t>
      </w:r>
    </w:p>
    <w:p w:rsidR="009E7E6D" w:rsidRPr="009E7E6D" w:rsidRDefault="009E7E6D" w:rsidP="009E7E6D">
      <w:pPr>
        <w:spacing w:after="0" w:line="240" w:lineRule="auto"/>
        <w:ind w:left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9E7E6D" w:rsidRPr="00E62999" w:rsidRDefault="009E7E6D" w:rsidP="00E62999">
      <w:pPr>
        <w:pStyle w:val="Akapitzlist"/>
        <w:keepNext/>
        <w:numPr>
          <w:ilvl w:val="0"/>
          <w:numId w:val="8"/>
        </w:numPr>
        <w:spacing w:after="0" w:line="240" w:lineRule="auto"/>
        <w:rPr>
          <w:rFonts w:ascii="Calibri" w:eastAsia="Times New Roman" w:hAnsi="Calibri" w:cs="Times New Roman"/>
          <w:b/>
          <w:bCs/>
          <w:i/>
          <w:kern w:val="32"/>
          <w:sz w:val="24"/>
          <w:szCs w:val="24"/>
          <w:lang w:eastAsia="pl-PL"/>
        </w:rPr>
      </w:pPr>
      <w:r w:rsidRPr="00E62999">
        <w:rPr>
          <w:rFonts w:ascii="Calibri" w:eastAsia="Times New Roman" w:hAnsi="Calibri" w:cs="Times New Roman"/>
          <w:b/>
          <w:i/>
          <w:sz w:val="24"/>
          <w:szCs w:val="24"/>
          <w:lang w:eastAsia="pl-PL"/>
        </w:rPr>
        <w:t xml:space="preserve"> </w:t>
      </w:r>
      <w:r w:rsidRPr="00E62999">
        <w:rPr>
          <w:rFonts w:ascii="Calibri" w:eastAsia="Times New Roman" w:hAnsi="Calibri" w:cs="Times New Roman"/>
          <w:b/>
          <w:bCs/>
          <w:i/>
          <w:kern w:val="32"/>
          <w:sz w:val="24"/>
          <w:szCs w:val="24"/>
          <w:lang w:eastAsia="pl-PL"/>
        </w:rPr>
        <w:t>Wykaz oświadczeń lub  dokumentów, jakie mają dostarczyć Wykonawcy w celu potwierdzenia spełniania warunków udziału w postępowaniu.</w:t>
      </w:r>
    </w:p>
    <w:p w:rsidR="009E7E6D" w:rsidRPr="009E7E6D" w:rsidRDefault="009E7E6D" w:rsidP="009E7E6D">
      <w:pPr>
        <w:spacing w:after="0" w:line="240" w:lineRule="auto"/>
        <w:ind w:left="42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9E7E6D" w:rsidRPr="009E7E6D" w:rsidRDefault="009E7E6D" w:rsidP="009E7E6D">
      <w:pPr>
        <w:numPr>
          <w:ilvl w:val="1"/>
          <w:numId w:val="5"/>
        </w:numPr>
        <w:tabs>
          <w:tab w:val="num" w:pos="851"/>
        </w:tabs>
        <w:spacing w:before="60" w:after="60" w:line="240" w:lineRule="auto"/>
        <w:ind w:left="851" w:hanging="425"/>
        <w:jc w:val="both"/>
        <w:outlineLvl w:val="0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9E7E6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Aktualny odpis z właściwego rejestru lub z centralnej ewidencji i informacji </w:t>
      </w:r>
      <w:r w:rsidRPr="009E7E6D">
        <w:rPr>
          <w:rFonts w:ascii="Calibri" w:eastAsia="Times New Roman" w:hAnsi="Calibri" w:cs="Times New Roman"/>
          <w:sz w:val="24"/>
          <w:szCs w:val="24"/>
          <w:lang w:eastAsia="pl-PL"/>
        </w:rPr>
        <w:br/>
        <w:t>o działalności gospodarczej, jeżeli odrębne przepisy wymagają wpisu do rejestru lub ewidencji,  wystawiony nie wcześniej niż 6 miesięcy przed upływem terminu składania ofert.</w:t>
      </w:r>
    </w:p>
    <w:p w:rsidR="009E7E6D" w:rsidRPr="00D2490A" w:rsidRDefault="009E7E6D" w:rsidP="009E7E6D">
      <w:pPr>
        <w:numPr>
          <w:ilvl w:val="1"/>
          <w:numId w:val="5"/>
        </w:numPr>
        <w:spacing w:before="60" w:after="60" w:line="240" w:lineRule="auto"/>
        <w:jc w:val="both"/>
        <w:outlineLvl w:val="0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9E7E6D">
        <w:rPr>
          <w:rFonts w:ascii="Calibri" w:eastAsia="Times New Roman" w:hAnsi="Calibri" w:cs="Arial"/>
          <w:color w:val="000000"/>
          <w:sz w:val="24"/>
          <w:szCs w:val="24"/>
          <w:lang w:eastAsia="pl-PL"/>
        </w:rPr>
        <w:lastRenderedPageBreak/>
        <w:t xml:space="preserve">Wykonawca powinien udokumentować posiadanie wiedzy i doświadczenia poprzez wykazanie realizacji przynajmniej jednej w ciągu ostatnich trzech lat  </w:t>
      </w:r>
      <w:r w:rsidRPr="009E7E6D">
        <w:rPr>
          <w:rFonts w:ascii="Calibri" w:eastAsia="Times New Roman" w:hAnsi="Calibri" w:cs="Arial"/>
          <w:i/>
          <w:color w:val="000000"/>
          <w:sz w:val="24"/>
          <w:szCs w:val="24"/>
          <w:u w:val="single"/>
          <w:lang w:eastAsia="pl-PL"/>
        </w:rPr>
        <w:t xml:space="preserve">dostawy regałów metalowych ( w tym przesuwnych) </w:t>
      </w:r>
      <w:r w:rsidRPr="009E7E6D">
        <w:rPr>
          <w:rFonts w:ascii="Calibri" w:eastAsia="Times New Roman" w:hAnsi="Calibri" w:cs="Arial"/>
          <w:i/>
          <w:iCs/>
          <w:color w:val="000000"/>
          <w:sz w:val="24"/>
          <w:szCs w:val="24"/>
          <w:u w:val="single"/>
          <w:lang w:eastAsia="pl-PL"/>
        </w:rPr>
        <w:t>o wartości równej lub większej niż 70 000,00 zł brutto;</w:t>
      </w:r>
      <w:r w:rsidRPr="009E7E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7E6D">
        <w:rPr>
          <w:rFonts w:ascii="Calibri" w:eastAsia="Times New Roman" w:hAnsi="Calibri" w:cs="Times New Roman"/>
          <w:sz w:val="24"/>
          <w:szCs w:val="24"/>
          <w:lang w:eastAsia="pl-PL"/>
        </w:rPr>
        <w:t>N</w:t>
      </w:r>
      <w:r w:rsidRPr="009E7E6D">
        <w:rPr>
          <w:rFonts w:ascii="Calibri" w:eastAsia="Times New Roman" w:hAnsi="Calibri" w:cs="Arial"/>
          <w:iCs/>
          <w:color w:val="000000"/>
          <w:sz w:val="24"/>
          <w:szCs w:val="24"/>
          <w:lang w:eastAsia="pl-PL"/>
        </w:rPr>
        <w:t>ależy załączyć dowody potwierdzające, że dostawy zostały wykonane w sposób należyty. Dowodami.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</w:t>
      </w:r>
    </w:p>
    <w:p w:rsidR="00D2490A" w:rsidRPr="009E7E6D" w:rsidRDefault="00D2490A" w:rsidP="00D2490A">
      <w:pPr>
        <w:spacing w:before="60" w:after="60" w:line="240" w:lineRule="auto"/>
        <w:jc w:val="both"/>
        <w:outlineLvl w:val="0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9E7E6D" w:rsidRPr="009E7E6D" w:rsidRDefault="009E7E6D" w:rsidP="009E7E6D">
      <w:pPr>
        <w:numPr>
          <w:ilvl w:val="1"/>
          <w:numId w:val="5"/>
        </w:numPr>
        <w:tabs>
          <w:tab w:val="num" w:pos="851"/>
        </w:tabs>
        <w:spacing w:before="60" w:after="60" w:line="240" w:lineRule="auto"/>
        <w:ind w:left="851" w:hanging="425"/>
        <w:jc w:val="both"/>
        <w:outlineLvl w:val="0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9E7E6D">
        <w:rPr>
          <w:rFonts w:ascii="Calibri" w:eastAsia="Times New Roman" w:hAnsi="Calibri" w:cs="Times New Roman"/>
          <w:sz w:val="24"/>
          <w:szCs w:val="24"/>
          <w:lang w:eastAsia="pl-PL"/>
        </w:rPr>
        <w:t>Wypełniony formularz ofertowy – załącznik nr 3;</w:t>
      </w:r>
    </w:p>
    <w:p w:rsidR="009E7E6D" w:rsidRPr="009E7E6D" w:rsidRDefault="009E7E6D" w:rsidP="009E7E6D">
      <w:pPr>
        <w:numPr>
          <w:ilvl w:val="1"/>
          <w:numId w:val="5"/>
        </w:numPr>
        <w:tabs>
          <w:tab w:val="num" w:pos="851"/>
        </w:tabs>
        <w:spacing w:before="60" w:after="60" w:line="240" w:lineRule="auto"/>
        <w:ind w:left="851" w:hanging="425"/>
        <w:jc w:val="both"/>
        <w:outlineLvl w:val="0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9E7E6D">
        <w:rPr>
          <w:rFonts w:ascii="Calibri" w:eastAsia="Times New Roman" w:hAnsi="Calibri" w:cs="Times New Roman"/>
          <w:sz w:val="24"/>
          <w:szCs w:val="24"/>
          <w:lang w:eastAsia="pl-PL"/>
        </w:rPr>
        <w:t>Wypełniony formularz cenowy –załącznik nr</w:t>
      </w:r>
      <w:r w:rsidR="00C2692E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2</w:t>
      </w:r>
      <w:r w:rsidRPr="009E7E6D">
        <w:rPr>
          <w:rFonts w:ascii="Calibri" w:eastAsia="Times New Roman" w:hAnsi="Calibri" w:cs="Times New Roman"/>
          <w:sz w:val="24"/>
          <w:szCs w:val="24"/>
          <w:lang w:eastAsia="pl-PL"/>
        </w:rPr>
        <w:t>;</w:t>
      </w:r>
    </w:p>
    <w:p w:rsidR="009E7E6D" w:rsidRPr="009E7E6D" w:rsidRDefault="009E7E6D" w:rsidP="009E7E6D">
      <w:pPr>
        <w:spacing w:before="60" w:after="6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E7E6D" w:rsidRPr="009E7E6D" w:rsidRDefault="009E7E6D" w:rsidP="009E7E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E7E6D" w:rsidRPr="009E7E6D" w:rsidRDefault="009E7E6D" w:rsidP="009E7E6D">
      <w:pPr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E7E6D" w:rsidRPr="009E7E6D" w:rsidRDefault="003C38FF" w:rsidP="003C38F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E7E6D" w:rsidRPr="009E7E6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</w:t>
      </w:r>
      <w:r w:rsidR="009E7E6D" w:rsidRPr="009E7E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</w:t>
      </w:r>
      <w:r w:rsidR="009E7E6D" w:rsidRPr="009E7E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(Podpis osoby uprawnionej) </w:t>
      </w:r>
    </w:p>
    <w:p w:rsidR="00CC184B" w:rsidRDefault="00CC184B" w:rsidP="00CC184B"/>
    <w:p w:rsidR="00CC184B" w:rsidRDefault="00CC184B" w:rsidP="00CC184B"/>
    <w:p w:rsidR="00CC184B" w:rsidRDefault="00CC184B" w:rsidP="00CC184B"/>
    <w:p w:rsidR="003C38FF" w:rsidRDefault="003C38FF" w:rsidP="00CC184B"/>
    <w:p w:rsidR="003C38FF" w:rsidRDefault="003C38FF" w:rsidP="00CC184B"/>
    <w:p w:rsidR="003C38FF" w:rsidRDefault="003C38FF" w:rsidP="00CC184B"/>
    <w:p w:rsidR="003C38FF" w:rsidRDefault="003C38FF" w:rsidP="00CC184B"/>
    <w:p w:rsidR="003C38FF" w:rsidRDefault="003C38FF" w:rsidP="00CC184B"/>
    <w:p w:rsidR="003C38FF" w:rsidRDefault="003C38FF" w:rsidP="00CC184B"/>
    <w:p w:rsidR="003C38FF" w:rsidRDefault="003C38FF" w:rsidP="00CC184B"/>
    <w:p w:rsidR="003C38FF" w:rsidRDefault="003C38FF" w:rsidP="00CC184B"/>
    <w:p w:rsidR="003C38FF" w:rsidRDefault="003C38FF" w:rsidP="00CC184B"/>
    <w:p w:rsidR="003A07C5" w:rsidRPr="003C38FF" w:rsidRDefault="003A07C5" w:rsidP="003C38FF">
      <w:pPr>
        <w:spacing w:after="160" w:line="259" w:lineRule="auto"/>
        <w:rPr>
          <w:b/>
        </w:rPr>
      </w:pPr>
    </w:p>
    <w:sectPr w:rsidR="003A07C5" w:rsidRPr="003C38FF" w:rsidSect="00D249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05" w:right="1558" w:bottom="1418" w:left="1418" w:header="709" w:footer="4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AC2" w:rsidRDefault="00C40AC2">
      <w:pPr>
        <w:spacing w:after="0" w:line="240" w:lineRule="auto"/>
      </w:pPr>
      <w:r>
        <w:separator/>
      </w:r>
    </w:p>
  </w:endnote>
  <w:endnote w:type="continuationSeparator" w:id="0">
    <w:p w:rsidR="00C40AC2" w:rsidRDefault="00C40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488" w:rsidRDefault="00A834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2D9" w:rsidRDefault="00C40AC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488" w:rsidRPr="005C7283" w:rsidRDefault="00A83488" w:rsidP="005C72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AC2" w:rsidRDefault="00C40AC2">
      <w:pPr>
        <w:spacing w:after="0" w:line="240" w:lineRule="auto"/>
      </w:pPr>
      <w:r>
        <w:separator/>
      </w:r>
    </w:p>
  </w:footnote>
  <w:footnote w:type="continuationSeparator" w:id="0">
    <w:p w:rsidR="00C40AC2" w:rsidRDefault="00C40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488" w:rsidRDefault="00A834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488" w:rsidRDefault="00A834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2AC2" w:rsidRPr="005C7283" w:rsidRDefault="00762AC2" w:rsidP="005C72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15C80"/>
    <w:multiLevelType w:val="hybridMultilevel"/>
    <w:tmpl w:val="D03C3D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9E7063"/>
    <w:multiLevelType w:val="hybridMultilevel"/>
    <w:tmpl w:val="00807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20DB0"/>
    <w:multiLevelType w:val="multilevel"/>
    <w:tmpl w:val="7736AEB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215C053E"/>
    <w:multiLevelType w:val="multilevel"/>
    <w:tmpl w:val="F3D617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4" w15:restartNumberingAfterBreak="0">
    <w:nsid w:val="21602733"/>
    <w:multiLevelType w:val="hybridMultilevel"/>
    <w:tmpl w:val="69DA5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72275"/>
    <w:multiLevelType w:val="multilevel"/>
    <w:tmpl w:val="3B6E6C2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lowerLetter"/>
      <w:lvlText w:val="(%2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2">
      <w:start w:val="1"/>
      <w:numFmt w:val="lowerRoman"/>
      <w:lvlText w:val="(%3)"/>
      <w:lvlJc w:val="left"/>
      <w:pPr>
        <w:tabs>
          <w:tab w:val="num" w:pos="1854"/>
        </w:tabs>
        <w:ind w:left="1701" w:hanging="567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778"/>
        </w:tabs>
        <w:ind w:left="1440" w:hanging="22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" w15:restartNumberingAfterBreak="0">
    <w:nsid w:val="33A21076"/>
    <w:multiLevelType w:val="hybridMultilevel"/>
    <w:tmpl w:val="47DC3CC0"/>
    <w:lvl w:ilvl="0" w:tplc="0415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C24607D"/>
    <w:multiLevelType w:val="hybridMultilevel"/>
    <w:tmpl w:val="8CB449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175C6E"/>
    <w:multiLevelType w:val="hybridMultilevel"/>
    <w:tmpl w:val="934082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148EF"/>
    <w:multiLevelType w:val="hybridMultilevel"/>
    <w:tmpl w:val="7144D2D2"/>
    <w:lvl w:ilvl="0" w:tplc="1A8A88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FA03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233EAA"/>
    <w:multiLevelType w:val="hybridMultilevel"/>
    <w:tmpl w:val="888873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3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5">
    <w:abstractNumId w:val="9"/>
  </w:num>
  <w:num w:numId="6">
    <w:abstractNumId w:val="0"/>
  </w:num>
  <w:num w:numId="7">
    <w:abstractNumId w:val="5"/>
  </w:num>
  <w:num w:numId="8">
    <w:abstractNumId w:val="10"/>
  </w:num>
  <w:num w:numId="9">
    <w:abstractNumId w:val="4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84B"/>
    <w:rsid w:val="003A07C5"/>
    <w:rsid w:val="003C38FF"/>
    <w:rsid w:val="005C7283"/>
    <w:rsid w:val="00762AC2"/>
    <w:rsid w:val="009E7E6D"/>
    <w:rsid w:val="00A83488"/>
    <w:rsid w:val="00AA1FAC"/>
    <w:rsid w:val="00C2692E"/>
    <w:rsid w:val="00C40AC2"/>
    <w:rsid w:val="00CC184B"/>
    <w:rsid w:val="00D2490A"/>
    <w:rsid w:val="00E62999"/>
    <w:rsid w:val="00FB6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18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8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84B"/>
  </w:style>
  <w:style w:type="paragraph" w:styleId="Stopka">
    <w:name w:val="footer"/>
    <w:basedOn w:val="Normalny"/>
    <w:link w:val="StopkaZnak"/>
    <w:uiPriority w:val="99"/>
    <w:unhideWhenUsed/>
    <w:rsid w:val="00CC18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84B"/>
  </w:style>
  <w:style w:type="paragraph" w:styleId="Akapitzlist">
    <w:name w:val="List Paragraph"/>
    <w:basedOn w:val="Normalny"/>
    <w:uiPriority w:val="34"/>
    <w:qFormat/>
    <w:rsid w:val="00CC184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C1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18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og@bialystok.sr.gov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896</Words>
  <Characters>5382</Characters>
  <Application>Microsoft Office Word</Application>
  <DocSecurity>0</DocSecurity>
  <Lines>44</Lines>
  <Paragraphs>12</Paragraphs>
  <ScaleCrop>false</ScaleCrop>
  <Company/>
  <LinksUpToDate>false</LinksUpToDate>
  <CharactersWithSpaces>6266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2020-07-13T12:00:00Z</dcterms:created>
  <dcterms:modified xsi:type="dcterms:W3CDTF">2020-07-13T12:00:00Z</dcterms:modified>
</cp:coreProperties>
</file>