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85E" w:rsidRPr="009A585E" w:rsidRDefault="009A585E" w:rsidP="009A58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</w:p>
    <w:p w:rsidR="009A585E" w:rsidRPr="009A585E" w:rsidRDefault="009A585E" w:rsidP="009A58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A585E" w:rsidRPr="009A585E" w:rsidRDefault="009A585E" w:rsidP="009A58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9A585E">
        <w:rPr>
          <w:rFonts w:ascii="Times New Roman" w:eastAsia="Times New Roman" w:hAnsi="Times New Roman" w:cs="Times New Roman"/>
          <w:b/>
          <w:lang w:eastAsia="pl-PL"/>
        </w:rPr>
        <w:t xml:space="preserve">Załącznik Nr 1b do siwz </w:t>
      </w:r>
    </w:p>
    <w:p w:rsidR="009A585E" w:rsidRPr="009A585E" w:rsidRDefault="009A585E" w:rsidP="009A585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585E">
        <w:rPr>
          <w:rFonts w:ascii="Times New Roman" w:eastAsia="Times New Roman" w:hAnsi="Times New Roman" w:cs="Times New Roman"/>
          <w:sz w:val="18"/>
          <w:szCs w:val="18"/>
          <w:lang w:eastAsia="pl-PL"/>
        </w:rPr>
        <w:t>Postępowanie Nr G-3710-18/19</w:t>
      </w:r>
    </w:p>
    <w:p w:rsidR="009A585E" w:rsidRPr="009A585E" w:rsidRDefault="009A585E" w:rsidP="009A585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9A585E"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  <w:t>Opis przedmiotu zamówienia</w:t>
      </w:r>
    </w:p>
    <w:p w:rsidR="009A585E" w:rsidRPr="009A585E" w:rsidRDefault="009A585E" w:rsidP="009A585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9A585E"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  <w:t>dotyczy części II</w:t>
      </w:r>
    </w:p>
    <w:p w:rsidR="009A585E" w:rsidRPr="009A585E" w:rsidRDefault="009A585E" w:rsidP="009A58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A585E" w:rsidRPr="009A585E" w:rsidRDefault="009A585E" w:rsidP="009A5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85E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 T-05-01-03-006 (All in One)</w:t>
      </w:r>
    </w:p>
    <w:tbl>
      <w:tblPr>
        <w:tblW w:w="4980" w:type="pct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33"/>
        <w:gridCol w:w="1749"/>
        <w:gridCol w:w="6995"/>
      </w:tblGrid>
      <w:tr w:rsidR="009A585E" w:rsidRPr="009A585E" w:rsidTr="00325626">
        <w:trPr>
          <w:trHeight w:val="284"/>
          <w:tblHeader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  <w:t>Nazwa komponentu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  <w:t>Wymagane minimalne</w:t>
            </w:r>
          </w:p>
        </w:tc>
      </w:tr>
      <w:tr w:rsidR="009A585E" w:rsidRPr="009A585E" w:rsidTr="00325626">
        <w:trPr>
          <w:trHeight w:val="284"/>
          <w:tblHeader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9A585E" w:rsidRPr="009A585E" w:rsidRDefault="009A585E" w:rsidP="009A585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3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Typ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Komputer ze zintegrowanym monitorem typu All-In-One.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Stopa powinna umożliwiać regulację wysokości oraz kąta nachylenia ekranu (przód/tył).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 ofercie wymagane jest podanie modelu, symbolu oraz producenta.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Zastosowanie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Wyświetlacz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Minimum 21” – maksimum 24” rozdzielczość obsługiwana co najmniej 1920x1080</w:t>
            </w: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 z matrycą antyrefleksyjną lub matową. Nie dopuszcza się matrycy lustrzanej.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Kontrast (Typowy): minimum 1000:1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Jasność: minimum 250cd/m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Procesor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0"/>
                <w:numId w:val="8"/>
              </w:numPr>
              <w:spacing w:after="0" w:line="240" w:lineRule="auto"/>
              <w:ind w:left="353" w:hanging="281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Procesor wielordzeniowy,</w:t>
            </w:r>
          </w:p>
          <w:p w:rsidR="009A585E" w:rsidRPr="009A585E" w:rsidRDefault="009A585E" w:rsidP="009A585E">
            <w:pPr>
              <w:numPr>
                <w:ilvl w:val="0"/>
                <w:numId w:val="8"/>
              </w:numPr>
              <w:spacing w:after="0" w:line="240" w:lineRule="auto"/>
              <w:ind w:left="353" w:hanging="281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Zgody z architekturą x86,</w:t>
            </w:r>
          </w:p>
          <w:p w:rsidR="009A585E" w:rsidRPr="009A585E" w:rsidRDefault="009A585E" w:rsidP="009A585E">
            <w:pPr>
              <w:numPr>
                <w:ilvl w:val="0"/>
                <w:numId w:val="8"/>
              </w:numPr>
              <w:spacing w:after="0" w:line="240" w:lineRule="auto"/>
              <w:ind w:left="353" w:hanging="281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Wydajność min. 11000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Płyta główna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tabs>
                <w:tab w:val="num" w:pos="172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Wbudowane porty i złącza:</w:t>
            </w:r>
          </w:p>
          <w:p w:rsidR="009A585E" w:rsidRPr="009A585E" w:rsidRDefault="009A585E" w:rsidP="009A585E">
            <w:pPr>
              <w:numPr>
                <w:ilvl w:val="0"/>
                <w:numId w:val="10"/>
              </w:numPr>
              <w:spacing w:after="0" w:line="240" w:lineRule="auto"/>
              <w:ind w:left="353" w:hanging="283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2 x Gniazdo pamięci RAM,</w:t>
            </w:r>
          </w:p>
          <w:p w:rsidR="009A585E" w:rsidRPr="009A585E" w:rsidRDefault="009A585E" w:rsidP="009A585E">
            <w:pPr>
              <w:numPr>
                <w:ilvl w:val="0"/>
                <w:numId w:val="10"/>
              </w:numPr>
              <w:spacing w:after="0" w:line="240" w:lineRule="auto"/>
              <w:ind w:left="353" w:hanging="283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1 x Karta </w:t>
            </w: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Ethernet RJ-45 (10/100/1000) zintegrowana z płytą główną </w:t>
            </w:r>
            <w:r w:rsidRPr="009A585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wspierająca obsługę WoL (funkcja włączana przez użytkownika)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PXE 2.1</w:t>
            </w:r>
          </w:p>
          <w:p w:rsidR="009A585E" w:rsidRPr="009A585E" w:rsidRDefault="009A585E" w:rsidP="009A585E">
            <w:pPr>
              <w:tabs>
                <w:tab w:val="num" w:pos="1724"/>
              </w:tabs>
              <w:spacing w:after="0" w:line="240" w:lineRule="auto"/>
              <w:ind w:left="354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ind w:left="70" w:hanging="73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Porty zewnętrzne obudowy: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4 x USB w tym 2 x min USB 3.0.,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ind w:left="35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Wymagana ilość portów nie może być osiągnięta w wyniku stosowania konwerterów, przejściówek itp.,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1 x RJ45 (LAN)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ind w:left="35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Wymagana ilość portów nie może być osiągnięta w wyniku stosowania konwerterów, przejściówek itp., 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1 x Wyjście wideo DisplayPort lub miniDisplayPort,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ind w:left="35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(dopuszcza się wyjście HDMI pod warunkiem dostarczenia przejściówki HDMI do DisplayPort),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Wydzielone gniazda mikrofonu i słuchawek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,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w przypadku portu combo należy dostarczyć stosowne przejściówki.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Pamięć operacyjna (RAM)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Co najmniej 8 GB z możliwością rozbudowy do min 32GB, jeden slot wolny.</w:t>
            </w:r>
          </w:p>
          <w:p w:rsidR="009A585E" w:rsidRPr="009A585E" w:rsidRDefault="009A585E" w:rsidP="009A585E">
            <w:pPr>
              <w:spacing w:after="0" w:line="240" w:lineRule="auto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Nie dopuszcza się pamięci wlutowanych w płycie głównej.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Pamięć masowa (SSD)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Min. 240 GB SSD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Napęd optyczny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Zintegrowana w obudowie nagrywarka DVD+/- RW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wraz z dołączonym zewnętrznym (innym niż wbudowany w system operacyjny) oprogramowaniem z interfejsem graficznym w polskojęzycznej wersji  do odtwarzania i nagrywania płyt z pełną i bezterminową licencją.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Grafika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Oferowana karta graficzna musi osiągać w teście PassMark Performance Test co najmniej wynik 1000 punktów w G3D Rating.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Multimedia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0"/>
                <w:numId w:val="9"/>
              </w:numPr>
              <w:spacing w:after="0" w:line="240" w:lineRule="auto"/>
              <w:ind w:left="353" w:hanging="28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Dwukanałowa karta dźwiękowa zintegrowana z płytą główną, 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pacing w:after="0" w:line="240" w:lineRule="auto"/>
              <w:ind w:left="353" w:hanging="28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Wbudowane głośniki w obudowę urządzenia.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lastRenderedPageBreak/>
              <w:t>Weryfikacja wygenerowanych przez komputer kluczy szyfrowania musi odbywać się w dedykowanym chipsecie na płycie głównej.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Złącze typu Kensington Lock lub rozwiązanie równoważne. 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Poprzez równoważność Zamawiający rozumie możliwość zabezpieczenia urządzenia linką z wykorzystaniem dedykowanego otworu dla zaoferowanego rozwiązania, w który wyposażone jest urządzenie na etapie jego produkcji.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lastRenderedPageBreak/>
              <w:t>11.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Funkcje BIOS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BIOS zgodny ze specyfikacją UEFI.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wersji BIOS,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nr seryjnego komputera,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ilości pamięciami RAM,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typie procesora,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MAC adresie zintegrowanej karty sieciowej.</w:t>
            </w:r>
          </w:p>
          <w:p w:rsidR="009A585E" w:rsidRPr="009A585E" w:rsidRDefault="009A585E" w:rsidP="009A585E">
            <w:pPr>
              <w:widowControl w:val="0"/>
              <w:spacing w:after="0" w:line="206" w:lineRule="exact"/>
              <w:rPr>
                <w:rFonts w:ascii="Times New Roman" w:eastAsia="Arial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Arial" w:hAnsi="Times New Roman" w:cs="Calibri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zewnętrznych urządzeń.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USB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 włączenia/wyłączenia funkcjonalności Wake On LAN – zdalne uruchomienie komputera za pośrednictwem sieci LAN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 xml:space="preserve">Możliwość </w:t>
            </w: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włączenia/wyłączenia hasła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 xml:space="preserve">wejścia do BIOS </w:t>
            </w: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i dysku twardego</w:t>
            </w:r>
          </w:p>
          <w:p w:rsidR="009A585E" w:rsidRPr="009A585E" w:rsidRDefault="009A585E" w:rsidP="009A585E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meny szybkiego bootowania. System opatrzony min. o funkcjonalność: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procesora,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pamięci,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portów USB,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dysku twardego.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Aktualizacja BIOS za pomocą strony internetowej producenta w oparciu o najnowsze, aktualne wersje BIOS.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Zgodność z systemami operacyjnymi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Oferowane modele komputerów muszą poprawnie współpracować z systemem operacyjnym Windows 10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System operacyjny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Preinstalowany system Windows 10 Professional PL 64bit (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nie wymagający aktywacji za pomocą telefonu lub Internetu w firmie Microsoft)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 w celu zapewnienia współpracy z środowiskiem sieciowym oraz aplikacjami funkcjonującymi w sądownictwie powszechnym lub równoważny. 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Możliwość odzyskania systemu z partycji recovery dysku zainstalowanego w komputerze.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Oprogramowanie funkcjonujące w środowisku Zamawiającego: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Oprogramowanie dla sądownictwa firmy OrCom (http://www.orcom.pl/sadownictwo.php#oferta) 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Oprogramowanie dla sądownictwa firmy Albit (http://www.albit.eu/)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Oprogramowanie dla sądownictwa firmy Currenda (http://www.currenda.pl/rozwiazania/wymiar-sprawiedliwosci/#rozwiazania) 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Oprogramowanie dla sądownictwa firmy ZETO Świdnica (http://www.zeto.swidnica.pl/index.php?id=49,0,0,1,0,0)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 xml:space="preserve">Oprogramowanie dla sądownictwa firmy Macrologic </w:t>
            </w:r>
          </w:p>
          <w:p w:rsidR="009A585E" w:rsidRPr="009A585E" w:rsidRDefault="009A585E" w:rsidP="009A585E">
            <w:pPr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(http://www.macrologic.pl/#)</w:t>
            </w:r>
          </w:p>
          <w:p w:rsidR="009A585E" w:rsidRPr="009A585E" w:rsidRDefault="009A585E" w:rsidP="009A585E">
            <w:pPr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Ważna uwaga: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 Zamawiający nie dopuszcza stosowania emulatorów ani środowisk 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lastRenderedPageBreak/>
              <w:t>wirtualnych do uruchomienia wymienionego wyżej oprogramowania.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Cechy równoważności i funkcjonalności oprogramowania systemowego:</w:t>
            </w:r>
          </w:p>
          <w:p w:rsidR="009A585E" w:rsidRPr="009A585E" w:rsidRDefault="009A585E" w:rsidP="009A585E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zalogowanego użytkownika celem rozwiązania problemu z komputerem.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Wszystkie wymienione cechy spełnione są przez system Windows 10 Professional PL 64bit. Ponadto, jest on preferowany ze względu na dotychczasowe używanie systemów rodziny Windows, a tym samym: </w:t>
            </w:r>
          </w:p>
          <w:p w:rsidR="009A585E" w:rsidRPr="009A585E" w:rsidRDefault="009A585E" w:rsidP="009A585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przystosowanie środowiska informatycznego pod ten system (narzędzia sieciowe, stosowane specjalistyczne oprogramowanie),</w:t>
            </w:r>
          </w:p>
          <w:p w:rsidR="009A585E" w:rsidRPr="009A585E" w:rsidRDefault="009A585E" w:rsidP="009A585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przeszkolenie administratorów systemów i zwykłych użytkowników,</w:t>
            </w:r>
          </w:p>
          <w:p w:rsidR="009A585E" w:rsidRPr="009A585E" w:rsidRDefault="009A585E" w:rsidP="009A585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Wymagane oświadczenie Wykonawcy potwierdzające, iż oferowana licencja systemu operacyjnego pochodzi z legalnego źródła i została zakupiona na terenie Rzeczpospolitej Polskiej.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lastRenderedPageBreak/>
              <w:t>14.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Wyposażenie dodatkowe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Dedykowany zasilacz sieciowy 230V,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Mysz optyczna USB z min. dwoma klawiszami i rolką (scroll) w kolorze zbliżonym do koloru obudowy,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Klawiatura USB z wydzieloną klawiaturą numeryczną w układzie US-QWERTY w kolorze zbliżonym do koloru obudowy,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5" w:hanging="355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Dołączony fizyczny nośnik (CD/DVD lub pendrive) ze sterownikami.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5" w:hanging="355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Dołączony fizyczny nośnik (CD/DVD lub pendrive) z systemem operacyjnym zainstalowanym na urządzeniu.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tabs>
                <w:tab w:val="left" w:pos="278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Warunki gwarancji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Minimum 36 miesięcy,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Czas reakcji serwisu – do końca następnego dnia roboczego,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Usługi serwisowe świadczone w miejscu instalacji urządzenia oraz możliwość szybkiego zgłaszania usterek przez portal internetowy, telefon lub mail,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Dostępność wsparcia technicznego przez 8 godzin, 5 dni roboczych (w godz. 8-16) w tygodniu przez cały rok w języku polskim w dni robocze,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 przypadku awarii nośników danych pozostają one u zamawiającego,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tabs>
                <w:tab w:val="left" w:pos="284"/>
                <w:tab w:val="left" w:pos="345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Wsparcie techniczne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Ogólnopolska, telefoniczna infolinia/linia techniczna Wykonawcy lub producenta komputera, </w:t>
            </w: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dostępna w czasie obowiązywania gwarancji na sprzęt i umożliwiająca po podaniu numeru seryjnego urządzenia:</w:t>
            </w:r>
          </w:p>
          <w:p w:rsidR="009A585E" w:rsidRPr="009A585E" w:rsidRDefault="009A585E" w:rsidP="009A585E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9A585E" w:rsidRPr="009A585E" w:rsidRDefault="009A585E" w:rsidP="009A585E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czasu obowiązywania i typ udzielonej gwarancji. Wykonawca poda numer telefonu.</w:t>
            </w:r>
          </w:p>
          <w:p w:rsidR="009A585E" w:rsidRPr="009A585E" w:rsidRDefault="009A585E" w:rsidP="009A585E">
            <w:pPr>
              <w:spacing w:after="12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9A585E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napToGrid w:val="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tabs>
                <w:tab w:val="left" w:pos="284"/>
                <w:tab w:val="left" w:pos="345"/>
              </w:tabs>
              <w:spacing w:after="0" w:line="240" w:lineRule="auto"/>
              <w:ind w:left="284" w:hanging="294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lastRenderedPageBreak/>
              <w:t>17.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Certyfikaty i standardy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9001:2015 lub równoważną, w zakresie co najmniej produkcji lub projektowania lub rozwoju -  urządzeń lub systemów  lub rozwiązań informatycznych (producent posiada certyfikat ISO 9001:2015 lub równoważny).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Oferowane urządzenie posiadają deklarację zgodności CE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Wymagane dokumenty: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val="en-US"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val="en-US" w:eastAsia="pl-PL"/>
              </w:rPr>
              <w:t>dot. PassMark Average CPU Mark,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Normy PN-EN  ISO 9001:2015 lub równoważnej dla producenta,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Normy PN-EN  ISO 14001 lub równoważnej  dla producenta,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deklaracji zgodności CE,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zgodności z dyrektywą ROHS UE – dopuszcza się wydruk ze strony lub potwierdzenie przez producenta lub Wykonawcę poprzez oświadczenie,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Oświadczenie o pozostawieniu nośnika danych u Zamawiającego na  wypadek awarii nośnika danych.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</w:tr>
    </w:tbl>
    <w:p w:rsidR="00DC4A72" w:rsidRDefault="00DC4A72"/>
    <w:sectPr w:rsidR="00DC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355" w:rsidRDefault="00BD0355" w:rsidP="005554C1">
      <w:pPr>
        <w:spacing w:after="0" w:line="240" w:lineRule="auto"/>
      </w:pPr>
      <w:r>
        <w:separator/>
      </w:r>
    </w:p>
  </w:endnote>
  <w:endnote w:type="continuationSeparator" w:id="0">
    <w:p w:rsidR="00BD0355" w:rsidRDefault="00BD0355" w:rsidP="00555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C1" w:rsidRDefault="005554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C1" w:rsidRDefault="005554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C1" w:rsidRDefault="005554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355" w:rsidRDefault="00BD0355" w:rsidP="005554C1">
      <w:pPr>
        <w:spacing w:after="0" w:line="240" w:lineRule="auto"/>
      </w:pPr>
      <w:r>
        <w:separator/>
      </w:r>
    </w:p>
  </w:footnote>
  <w:footnote w:type="continuationSeparator" w:id="0">
    <w:p w:rsidR="00BD0355" w:rsidRDefault="00BD0355" w:rsidP="005554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C1" w:rsidRDefault="00555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C1" w:rsidRDefault="005554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C1" w:rsidRDefault="005554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92B03"/>
    <w:multiLevelType w:val="hybridMultilevel"/>
    <w:tmpl w:val="BCF0C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3" w15:restartNumberingAfterBreak="0">
    <w:nsid w:val="23ED771B"/>
    <w:multiLevelType w:val="hybridMultilevel"/>
    <w:tmpl w:val="0D966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0997FDB"/>
    <w:multiLevelType w:val="hybridMultilevel"/>
    <w:tmpl w:val="7610D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C2282D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2" w15:restartNumberingAfterBreak="0">
    <w:nsid w:val="686D6CD6"/>
    <w:multiLevelType w:val="hybridMultilevel"/>
    <w:tmpl w:val="3508BEA2"/>
    <w:lvl w:ilvl="0" w:tplc="D6EEDF7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B67FD"/>
    <w:multiLevelType w:val="multilevel"/>
    <w:tmpl w:val="981E1DCE"/>
    <w:lvl w:ilvl="0">
      <w:start w:val="1"/>
      <w:numFmt w:val="none"/>
      <w:pStyle w:val="Stylwylicz11pt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Roman"/>
      <w:pStyle w:val="NagwkiSIWZ"/>
      <w:lvlText w:val="%1%2"/>
      <w:lvlJc w:val="left"/>
      <w:pPr>
        <w:tabs>
          <w:tab w:val="num" w:pos="284"/>
        </w:tabs>
        <w:ind w:left="576" w:hanging="576"/>
      </w:pPr>
      <w:rPr>
        <w:rFonts w:hint="default"/>
      </w:rPr>
    </w:lvl>
    <w:lvl w:ilvl="2">
      <w:start w:val="1"/>
      <w:numFmt w:val="decimal"/>
      <w:lvlText w:val="%1%3.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3">
      <w:start w:val="1"/>
      <w:numFmt w:val="decimal"/>
      <w:pStyle w:val="Tabela-Siatka"/>
      <w:lvlText w:val="%1%4)"/>
      <w:lvlJc w:val="left"/>
      <w:pPr>
        <w:tabs>
          <w:tab w:val="num" w:pos="1404"/>
        </w:tabs>
        <w:ind w:left="1404" w:hanging="864"/>
      </w:pPr>
      <w:rPr>
        <w:rFonts w:hint="default"/>
        <w:b w:val="0"/>
      </w:rPr>
    </w:lvl>
    <w:lvl w:ilvl="4">
      <w:start w:val="1"/>
      <w:numFmt w:val="lowerLetter"/>
      <w:pStyle w:val="opispunkt"/>
      <w:lvlText w:val="%1%5)"/>
      <w:lvlJc w:val="left"/>
      <w:pPr>
        <w:tabs>
          <w:tab w:val="num" w:pos="2710"/>
        </w:tabs>
        <w:ind w:left="2710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bullet"/>
      <w:lvlText w:val=""/>
      <w:lvlJc w:val="left"/>
      <w:pPr>
        <w:tabs>
          <w:tab w:val="num" w:pos="1152"/>
        </w:tabs>
        <w:ind w:left="1152" w:hanging="1152"/>
      </w:pPr>
      <w:rPr>
        <w:rFonts w:ascii="Symbol" w:hAnsi="Symbol" w:hint="default"/>
        <w:color w:val="auto"/>
      </w:rPr>
    </w:lvl>
    <w:lvl w:ilvl="6">
      <w:start w:val="1"/>
      <w:numFmt w:val="none"/>
      <w:lvlText w:val="%7%1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556F8C"/>
    <w:multiLevelType w:val="multilevel"/>
    <w:tmpl w:val="53182CF6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="SimSun" w:hAnsi="Times New Roman"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6"/>
  </w:num>
  <w:num w:numId="4">
    <w:abstractNumId w:val="13"/>
  </w:num>
  <w:num w:numId="5">
    <w:abstractNumId w:val="5"/>
  </w:num>
  <w:num w:numId="6">
    <w:abstractNumId w:val="0"/>
  </w:num>
  <w:num w:numId="7">
    <w:abstractNumId w:val="11"/>
  </w:num>
  <w:num w:numId="8">
    <w:abstractNumId w:val="1"/>
  </w:num>
  <w:num w:numId="9">
    <w:abstractNumId w:val="14"/>
  </w:num>
  <w:num w:numId="10">
    <w:abstractNumId w:val="4"/>
  </w:num>
  <w:num w:numId="11">
    <w:abstractNumId w:val="15"/>
  </w:num>
  <w:num w:numId="12">
    <w:abstractNumId w:val="6"/>
  </w:num>
  <w:num w:numId="13">
    <w:abstractNumId w:val="10"/>
  </w:num>
  <w:num w:numId="14">
    <w:abstractNumId w:val="7"/>
  </w:num>
  <w:num w:numId="15">
    <w:abstractNumId w:val="9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5E"/>
    <w:rsid w:val="005554C1"/>
    <w:rsid w:val="009A585E"/>
    <w:rsid w:val="00BD0355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58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Normalny"/>
    <w:autoRedefine/>
    <w:qFormat/>
    <w:rsid w:val="009A585E"/>
    <w:pPr>
      <w:keepLines w:val="0"/>
      <w:numPr>
        <w:ilvl w:val="1"/>
        <w:numId w:val="4"/>
      </w:numPr>
      <w:tabs>
        <w:tab w:val="clear" w:pos="284"/>
        <w:tab w:val="num" w:pos="360"/>
        <w:tab w:val="left" w:pos="960"/>
        <w:tab w:val="num" w:pos="993"/>
      </w:tabs>
      <w:autoSpaceDE w:val="0"/>
      <w:autoSpaceDN w:val="0"/>
      <w:adjustRightInd w:val="0"/>
      <w:spacing w:before="120" w:after="120" w:line="240" w:lineRule="auto"/>
      <w:ind w:left="993" w:hanging="636"/>
      <w:jc w:val="both"/>
    </w:pPr>
    <w:rPr>
      <w:rFonts w:ascii="Times New Roman" w:eastAsia="Times New Roman" w:hAnsi="Times New Roman" w:cs="Times New Roman"/>
      <w:b w:val="0"/>
      <w:color w:val="auto"/>
      <w:kern w:val="32"/>
      <w:sz w:val="24"/>
      <w:szCs w:val="20"/>
      <w:lang w:eastAsia="pl-PL"/>
    </w:rPr>
  </w:style>
  <w:style w:type="character" w:styleId="Hipercze">
    <w:name w:val="Hyperlink"/>
    <w:rsid w:val="009A585E"/>
    <w:rPr>
      <w:color w:val="0000FF"/>
      <w:u w:val="single"/>
    </w:rPr>
  </w:style>
  <w:style w:type="table" w:styleId="Tabela-Siatka">
    <w:name w:val="Table Grid"/>
    <w:basedOn w:val="Standardowy"/>
    <w:rsid w:val="009A585E"/>
    <w:pPr>
      <w:numPr>
        <w:ilvl w:val="3"/>
        <w:numId w:val="4"/>
      </w:numPr>
      <w:tabs>
        <w:tab w:val="clear" w:pos="1404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punkt">
    <w:name w:val="opis_punkt"/>
    <w:basedOn w:val="Normalny"/>
    <w:autoRedefine/>
    <w:rsid w:val="009A585E"/>
    <w:pPr>
      <w:widowControl w:val="0"/>
      <w:numPr>
        <w:ilvl w:val="4"/>
        <w:numId w:val="4"/>
      </w:numPr>
      <w:tabs>
        <w:tab w:val="clear" w:pos="2710"/>
        <w:tab w:val="num" w:pos="36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numbering" w:customStyle="1" w:styleId="Biecalista1">
    <w:name w:val="Bieżąca lista1"/>
    <w:rsid w:val="009A585E"/>
    <w:pPr>
      <w:numPr>
        <w:numId w:val="2"/>
      </w:numPr>
    </w:pPr>
  </w:style>
  <w:style w:type="paragraph" w:customStyle="1" w:styleId="Stylwylicz11pt">
    <w:name w:val="Styl wylicz + 11 pt"/>
    <w:basedOn w:val="Normalny"/>
    <w:autoRedefine/>
    <w:rsid w:val="009A585E"/>
    <w:pPr>
      <w:widowControl w:val="0"/>
      <w:numPr>
        <w:numId w:val="4"/>
      </w:numPr>
      <w:tabs>
        <w:tab w:val="clear" w:pos="432"/>
        <w:tab w:val="num" w:pos="1353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9A58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555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4C1"/>
  </w:style>
  <w:style w:type="paragraph" w:styleId="Stopka">
    <w:name w:val="footer"/>
    <w:basedOn w:val="Normalny"/>
    <w:link w:val="StopkaZnak"/>
    <w:uiPriority w:val="99"/>
    <w:unhideWhenUsed/>
    <w:rsid w:val="00555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2367</Words>
  <Characters>14207</Characters>
  <Application>Microsoft Office Word</Application>
  <DocSecurity>0</DocSecurity>
  <Lines>118</Lines>
  <Paragraphs>33</Paragraphs>
  <ScaleCrop>false</ScaleCrop>
  <Company/>
  <LinksUpToDate>false</LinksUpToDate>
  <CharactersWithSpaces>16541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2020-07-15T08:10:00Z</dcterms:created>
  <dcterms:modified xsi:type="dcterms:W3CDTF">2020-07-15T08:12:00Z</dcterms:modified>
</cp:coreProperties>
</file>