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8F8" w:rsidRPr="007C38F8" w:rsidRDefault="007C38F8" w:rsidP="007C38F8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bookmarkStart w:id="0" w:name="_GoBack"/>
      <w:bookmarkEnd w:id="0"/>
      <w:r w:rsidRPr="007C3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Komputer Stacjonarny                                        </w:t>
      </w:r>
      <w:r w:rsidRPr="007C38F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Załącznik 2a</w:t>
      </w:r>
      <w:r w:rsidRPr="007C38F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należy złożyć z ofertą do części I</w:t>
      </w:r>
    </w:p>
    <w:p w:rsidR="007C38F8" w:rsidRPr="007C38F8" w:rsidRDefault="007C38F8" w:rsidP="007C38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15814" w:type="dxa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1"/>
        <w:gridCol w:w="1697"/>
        <w:gridCol w:w="6833"/>
        <w:gridCol w:w="6833"/>
      </w:tblGrid>
      <w:tr w:rsidR="007C38F8" w:rsidRPr="007C38F8" w:rsidTr="00325626">
        <w:trPr>
          <w:trHeight w:val="284"/>
          <w:tblHeader/>
        </w:trPr>
        <w:tc>
          <w:tcPr>
            <w:tcW w:w="505" w:type="dxa"/>
            <w:shd w:val="clear" w:color="auto" w:fill="D9D9D9"/>
            <w:vAlign w:val="center"/>
          </w:tcPr>
          <w:p w:rsidR="007C38F8" w:rsidRPr="007C38F8" w:rsidRDefault="007C38F8" w:rsidP="007C38F8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7C38F8" w:rsidRPr="007C38F8" w:rsidRDefault="007C38F8" w:rsidP="007C38F8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Nazwa komponentu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7C38F8" w:rsidRPr="007C38F8" w:rsidRDefault="007C38F8" w:rsidP="007C38F8">
            <w:pPr>
              <w:suppressAutoHyphens/>
              <w:spacing w:line="252" w:lineRule="auto"/>
              <w:ind w:left="-71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Wymagane minimalne parametry techniczne komputerów</w:t>
            </w:r>
          </w:p>
        </w:tc>
        <w:tc>
          <w:tcPr>
            <w:tcW w:w="8080" w:type="dxa"/>
            <w:shd w:val="clear" w:color="auto" w:fill="D9D9D9"/>
          </w:tcPr>
          <w:p w:rsidR="007C38F8" w:rsidRPr="007C38F8" w:rsidRDefault="007C38F8" w:rsidP="007C38F8">
            <w:pPr>
              <w:suppressAutoHyphens/>
              <w:spacing w:after="0" w:line="252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  <w:t>Parametry techniczne oferowanego urządzenia</w:t>
            </w:r>
          </w:p>
          <w:p w:rsidR="007C38F8" w:rsidRPr="007C38F8" w:rsidRDefault="007C38F8" w:rsidP="007C38F8">
            <w:pPr>
              <w:suppressAutoHyphens/>
              <w:spacing w:line="252" w:lineRule="auto"/>
              <w:ind w:left="-71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  <w:t>(wypełnia Wykonawca w formie opisu jak w kolumnie 3)</w:t>
            </w:r>
          </w:p>
        </w:tc>
      </w:tr>
      <w:tr w:rsidR="007C38F8" w:rsidRPr="007C38F8" w:rsidTr="00325626">
        <w:trPr>
          <w:trHeight w:val="195"/>
          <w:tblHeader/>
        </w:trPr>
        <w:tc>
          <w:tcPr>
            <w:tcW w:w="505" w:type="dxa"/>
            <w:shd w:val="clear" w:color="auto" w:fill="D9D9D9"/>
            <w:vAlign w:val="center"/>
          </w:tcPr>
          <w:p w:rsidR="007C38F8" w:rsidRPr="007C38F8" w:rsidRDefault="007C38F8" w:rsidP="007C38F8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7C38F8" w:rsidRPr="007C38F8" w:rsidRDefault="007C38F8" w:rsidP="007C38F8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7C38F8" w:rsidRPr="007C38F8" w:rsidRDefault="007C38F8" w:rsidP="007C38F8">
            <w:pPr>
              <w:suppressAutoHyphens/>
              <w:spacing w:line="252" w:lineRule="auto"/>
              <w:ind w:left="-71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8080" w:type="dxa"/>
            <w:shd w:val="clear" w:color="auto" w:fill="D9D9D9"/>
          </w:tcPr>
          <w:p w:rsidR="007C38F8" w:rsidRPr="007C38F8" w:rsidRDefault="007C38F8" w:rsidP="007C38F8">
            <w:pPr>
              <w:suppressAutoHyphens/>
              <w:spacing w:line="252" w:lineRule="auto"/>
              <w:ind w:left="-71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4</w:t>
            </w:r>
          </w:p>
        </w:tc>
      </w:tr>
      <w:tr w:rsidR="007C38F8" w:rsidRPr="007C38F8" w:rsidTr="00325626">
        <w:trPr>
          <w:trHeight w:val="178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Typ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Komputer stacjonarny. W ofercie wymagane jest podanie modelu, symbolu oraz producenta.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707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Zastosowanie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Komputer będzie wykorzystywany dla potrzeb aplikacji biurowych, aplikacji edukacyjnych, aplikacji obliczeniowych, aplikacji graficznych, dostępu do internetu oraz poczty elektronicznej.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676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Procesor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Procesor wielordzeniowy</w:t>
            </w:r>
          </w:p>
          <w:p w:rsidR="007C38F8" w:rsidRPr="007C38F8" w:rsidRDefault="007C38F8" w:rsidP="007C38F8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Zgody z architekturą x86</w:t>
            </w:r>
          </w:p>
          <w:p w:rsidR="007C38F8" w:rsidRPr="007C38F8" w:rsidRDefault="007C38F8" w:rsidP="007C38F8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Wydajność min. 11000 pkt w benchmarku PassMark – 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Average </w:t>
            </w: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CPU Mark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color w:val="0000FF"/>
                <w:sz w:val="18"/>
                <w:szCs w:val="18"/>
                <w:u w:val="single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https://www.cpubenchmark.net/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i/>
                <w:i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Wykonawca załączy do oferty wydruk ww. strony z datą nie wcześniejszą niż 14 dni przed składaniem ofert ze wskazaniem wiersza odpowiadającego właściwemu wynikowi testów. Wydruk musi być podpisany przez Wykonawcę.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468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Pamięć operacyjna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Co najmniej 8GB</w:t>
            </w:r>
            <w:r w:rsidRPr="007C38F8">
              <w:rPr>
                <w:rFonts w:ascii="Times New Roman" w:eastAsia="Times New Roman" w:hAnsi="Times New Roman" w:cs="Times New Roman"/>
                <w:color w:val="00B0F0"/>
                <w:sz w:val="18"/>
                <w:szCs w:val="18"/>
                <w:lang w:eastAsia="ar-SA"/>
              </w:rPr>
              <w:t xml:space="preserve"> </w:t>
            </w: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 możliwością rozbudowy do min 32GB, jeden slot wolny (w przypadku dostarczenia minimalnej wymaganej pamięci w więcej niż jednej kości wymagane jest, aby każda z zamontowanych kości posiadała identyczne parametry pracy)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508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Parametry pamięci masowej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val="sv-SE"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  <w:t>Min. 240 GB SSD M.2 PCIe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</w:pPr>
          </w:p>
        </w:tc>
      </w:tr>
      <w:tr w:rsidR="007C38F8" w:rsidRPr="007C38F8" w:rsidTr="00325626">
        <w:trPr>
          <w:trHeight w:val="576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val="sv-SE"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Grafika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Powinna umożliwiać pracę dwumonitorową z wsparciem co najmniej DirectX 12, OpenGL 4.0, OpenCL 1.2; dopuszcza się możliwość by pamięć karty graficznej była współdzielona z pamięcią RAM, dynamicznie przydzielana do min. 1,7GB;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obsługująca rozdzielczości :</w:t>
            </w:r>
          </w:p>
          <w:p w:rsidR="007C38F8" w:rsidRPr="007C38F8" w:rsidRDefault="007C38F8" w:rsidP="007C38F8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3840x2160 @ 60Hz (cyfrowo) </w:t>
            </w:r>
          </w:p>
          <w:p w:rsidR="007C38F8" w:rsidRPr="007C38F8" w:rsidRDefault="007C38F8" w:rsidP="007C38F8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2560x1600 @ 60Hz (cyfrowo) </w:t>
            </w:r>
          </w:p>
          <w:p w:rsidR="007C38F8" w:rsidRPr="007C38F8" w:rsidRDefault="007C38F8" w:rsidP="007C38F8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4096x2160 @ 24Hz (cyfrowo) </w:t>
            </w:r>
          </w:p>
          <w:p w:rsidR="007C38F8" w:rsidRPr="007C38F8" w:rsidRDefault="007C38F8" w:rsidP="007C38F8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Calibri"/>
                <w:b/>
                <w:bCs/>
                <w:color w:val="00B05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1920x1200 @ 60Hz (analogowo i cyfrowo) 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1122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Wyposażenie multimedialne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 24-bitowa Karta dźwiękowa, zgodna z High Definition – wbudowana na płycie głównej komputera, wewnętrzny głośnik co najmniej 2W w obudowie komputera.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Port słuchawek i mikrofonu na przednim panelu obudowy oraz w tylnym panelu obudowy, w przypadku portu combo należy dostarczyć stosowne przejściówki.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1544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ind w:left="360" w:hanging="360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Obudowa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Małogabarytowa typu small form factor z obsługą kart PCI Express o niskim profilu wyposażona w min. 1 kieszenień: 5,25” zewnętrzna typu „slim”. 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Obudowa fabrycznie przystosowana do pracy w orientacji pionowej i poziomej. Wyposażona w dystanse gumowe w obu orientacjach - zapobiegające poślizgom obudowy i zarysowaniu lakieru. Dystanse gumowe w dostarczanym sprzęcie muszą być zamontowane trwale na obudowie (nie dopuszcza się, aby Zamawiający musiał samodzielnie dostosowywać obudowę do wymagań we własnym zakresie). W przypadku, gdy obudowa nie jest fabrycznie wyposażona w dystanse gumowe w którejś z orientacji pracy, a producent danego urządzenia zaleca w takim przypadku wykorzystanie dodatkowego akcesorium (np. specjalna podstawka) należy takie akcesorium dostarczyć wraz z urządzeniem.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 xml:space="preserve">Nie dopuszcza się, aby w bocznych ściankach obudowy były usytuowane otwory wentylacyjne, cyrkulacja powietrza tylko przez przedni i tylny panel z zachowaniem ruchu powietrza przód -&gt; tył. 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Moduł konstrukcji obudowy w jednostce centralnej komputera powinien pozwalać na demontaż kart rozszerzeń, napędu optycznego bez konieczności użycia narzędzi (wyklucza się użycia wkrętów, śrub motylkowych).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Zasilacz pracujący w sieci 230V 50/60Hz prądu zmiennego i efektywności min. 92% przy obciążeniu zasilacza na poziomie 50% oraz o efektywności min. 87% przy obciążeniu zasilacza na poziomie 100%,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Zasilacz w oferowanym komputerze musi się znajdować na stronie</w:t>
            </w:r>
            <w:r w:rsidRPr="007C38F8">
              <w:rPr>
                <w:rFonts w:ascii="Times New Roman" w:eastAsia="Times New Roman" w:hAnsi="Times New Roman" w:cs="Calibri"/>
                <w:bCs/>
                <w:color w:val="FF0000"/>
                <w:sz w:val="18"/>
                <w:szCs w:val="18"/>
                <w:lang w:eastAsia="ar-SA"/>
              </w:rPr>
              <w:t xml:space="preserve"> </w:t>
            </w:r>
            <w:hyperlink r:id="rId7" w:history="1">
              <w:r w:rsidRPr="007C38F8">
                <w:rPr>
                  <w:rFonts w:ascii="Times New Roman" w:eastAsia="Times New Roman" w:hAnsi="Times New Roman" w:cs="Calibri"/>
                  <w:bCs/>
                  <w:color w:val="0000FF"/>
                  <w:sz w:val="18"/>
                  <w:szCs w:val="18"/>
                  <w:u w:val="single"/>
                  <w:lang w:eastAsia="ar-SA"/>
                </w:rPr>
                <w:t>http://www.plugloadsolutions.com/80pluspowersupplies.aspx</w:t>
              </w:r>
            </w:hyperlink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, </w:t>
            </w: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do oferty należy dołączyć wydruk ze w/w strony internetowej potwierdzający spełnienie wymogu 80plus, w przypadku, kiedy u producenta występuje kilka zasilaczy, które są montowane na etapie produkcji w fabryce należy załączyć wydruki dla wszystkich zasilaczy.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B05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Obudowa w jednostce centralnej musi być otwierana bez konieczności użycia narzędzi (wyklucza się użycie standardowych wkrętów, śrub motylkowych) oraz powinna posiadać czujnik otwarcia obudowy współpracujący z oprogramowaniem zarządzająco – diagnostycznym.</w:t>
            </w:r>
            <w:r w:rsidRPr="007C38F8">
              <w:rPr>
                <w:rFonts w:ascii="Times New Roman" w:eastAsia="Times New Roman" w:hAnsi="Times New Roman" w:cs="Calibri"/>
                <w:bCs/>
                <w:color w:val="00B050"/>
                <w:sz w:val="18"/>
                <w:szCs w:val="18"/>
                <w:lang w:eastAsia="ar-SA"/>
              </w:rPr>
              <w:t xml:space="preserve"> 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Obudowa musi umożliwiać zastosowanie zabezpieczenia fizycznego w postaci linki metalowej (złącze blokady Kensingtona lub </w:t>
            </w:r>
            <w:r w:rsidRPr="007C38F8">
              <w:rPr>
                <w:rFonts w:ascii="Times New Roman" w:eastAsia="Times New Roman" w:hAnsi="Times New Roman" w:cs="Arial"/>
                <w:bCs/>
                <w:sz w:val="18"/>
                <w:szCs w:val="18"/>
                <w:lang w:eastAsia="ar-SA"/>
              </w:rPr>
              <w:t>równoważne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) oraz kłódki (oczko w obudowie 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lastRenderedPageBreak/>
              <w:t>do założenia kłódki).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Obudowa</w:t>
            </w: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musi posiadać wbudowany wizualny lub dźwiękowy system diagnostyczny, służący do sygnalizowania i diagnozowania problemów z komputerem i jego komponentami, a w szczególności musi sygnalizować:</w:t>
            </w:r>
          </w:p>
          <w:p w:rsidR="007C38F8" w:rsidRPr="007C38F8" w:rsidRDefault="007C38F8" w:rsidP="007C38F8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uszkodzenie lub brak pamięci RAM,</w:t>
            </w:r>
          </w:p>
          <w:p w:rsidR="007C38F8" w:rsidRPr="007C38F8" w:rsidRDefault="007C38F8" w:rsidP="007C38F8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uszkodzenie kontrolera Video,</w:t>
            </w:r>
          </w:p>
          <w:p w:rsidR="007C38F8" w:rsidRPr="007C38F8" w:rsidRDefault="007C38F8" w:rsidP="007C38F8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awarię BIOS’u,</w:t>
            </w:r>
          </w:p>
          <w:p w:rsidR="007C38F8" w:rsidRPr="007C38F8" w:rsidRDefault="007C38F8" w:rsidP="007C38F8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awarię procesora.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Oferowany system diagnostyczny nie może wykorzystywać minimalnej ilości wolnych slotów wymaganych w specyfikacji,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Każdy komputer powinien być oznaczony niepowtarzalnym numerem seryjnym umieszonym na obudowie, oraz musi być wpisany na stałe w BIOS.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Zgodność z systemami operacyjnymi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Oferowane modele komputerów muszą poprawnie współpracować z systemem operacyjnym Windows 10.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Funkcje BIOS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widowControl w:val="0"/>
              <w:tabs>
                <w:tab w:val="left" w:pos="120"/>
              </w:tabs>
              <w:suppressAutoHyphens/>
              <w:spacing w:after="0" w:line="160" w:lineRule="exact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BIOS zgodny ze specyfikacją UEFI, pełna obsługa za pomocą przynajmniej klawiatury.</w:t>
            </w:r>
          </w:p>
          <w:p w:rsidR="007C38F8" w:rsidRPr="007C38F8" w:rsidRDefault="007C38F8" w:rsidP="007C38F8">
            <w:pPr>
              <w:widowControl w:val="0"/>
              <w:tabs>
                <w:tab w:val="left" w:pos="-146"/>
              </w:tabs>
              <w:suppressAutoHyphens/>
              <w:spacing w:after="0" w:line="206" w:lineRule="exac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Możliwość, bez uruchamiania systemu operacyjnego z dysku twardego komputera lub innych podłączonych do niego urządzeń zewnętrznych odczytania z BIOS (nieedytowalnych z poziomu BIOS) bieżących informacji o: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wersji BIOS,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nr seryjnego komputera,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ilości pamięciami RAM,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typie procesora,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MAC adresie zintegrowanej karty sieciowej,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aktualnej dacie (dzień, miesiąc , rok) i godzinie,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rodzajach napędów optycznych;</w:t>
            </w:r>
          </w:p>
          <w:p w:rsidR="007C38F8" w:rsidRPr="007C38F8" w:rsidRDefault="007C38F8" w:rsidP="007C38F8">
            <w:pPr>
              <w:widowControl w:val="0"/>
              <w:suppressAutoHyphens/>
              <w:spacing w:after="0" w:line="206" w:lineRule="exact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7C38F8" w:rsidRPr="007C38F8" w:rsidRDefault="007C38F8" w:rsidP="007C38F8">
            <w:pPr>
              <w:widowControl w:val="0"/>
              <w:suppressAutoHyphens/>
              <w:spacing w:after="0" w:line="206" w:lineRule="exact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Opisana funkcjonalność odczytywania z BIOS informacji o podzespołach komputera musi automatycznie wykrywać zmiany oraz aktualizować informacje w przypadku wymiany któregokolwiek z wymienionych podzespołów na nowy.</w:t>
            </w:r>
          </w:p>
          <w:p w:rsidR="007C38F8" w:rsidRPr="007C38F8" w:rsidRDefault="007C38F8" w:rsidP="007C38F8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56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 xml:space="preserve">Funkcja kontroli czujnika otwarcia obudowy i zapis incydentu otwarcia obudowy </w:t>
            </w: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lastRenderedPageBreak/>
              <w:t>odczytywalny z poziomu interfejsu BIOS (wymagane logowanie informacji i dostęp do niej z poziomu interfejsu BIOS).</w:t>
            </w:r>
          </w:p>
          <w:p w:rsidR="007C38F8" w:rsidRPr="007C38F8" w:rsidRDefault="007C38F8" w:rsidP="007C38F8">
            <w:pPr>
              <w:widowControl w:val="0"/>
              <w:numPr>
                <w:ilvl w:val="0"/>
                <w:numId w:val="11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Funkcja blokowania wejścia do BIOS oraz blokowania startu systemu operacyjnego, (gwarantujący utrzymanie zapisanego hasła nawet w przypadku odłączenia wszystkich źródeł zasilania i podtrzymania BIOS).</w:t>
            </w:r>
          </w:p>
          <w:p w:rsidR="007C38F8" w:rsidRPr="007C38F8" w:rsidRDefault="007C38F8" w:rsidP="007C38F8">
            <w:pPr>
              <w:widowControl w:val="0"/>
              <w:numPr>
                <w:ilvl w:val="0"/>
                <w:numId w:val="11"/>
              </w:numPr>
              <w:tabs>
                <w:tab w:val="left" w:pos="-106"/>
              </w:tabs>
              <w:suppressAutoHyphens/>
              <w:spacing w:after="0" w:line="160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Funkcja blokowania/odblokowania BOOT-owania stacji roboczej z zewnętrznych urządzeń.</w:t>
            </w:r>
          </w:p>
          <w:p w:rsidR="007C38F8" w:rsidRPr="007C38F8" w:rsidRDefault="007C38F8" w:rsidP="007C38F8">
            <w:pPr>
              <w:widowControl w:val="0"/>
              <w:numPr>
                <w:ilvl w:val="0"/>
                <w:numId w:val="11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ustawienia hasła administratora oraz hasła dysku twardego na poziomie systemu oraz możliwość ustawienia następujących zależności pomiędzy nimi: brak możliwości zmiany hasła pozwalającego na uruchomienie systemu bez podania hasła administratora. Wszystkie opcje dostępne bez uruchamiania systemu operacyjnego z dysku twardego komputera lub innych, podłączonych do niego urządzeń zewnętrznych.</w:t>
            </w:r>
          </w:p>
          <w:p w:rsidR="007C38F8" w:rsidRPr="007C38F8" w:rsidRDefault="007C38F8" w:rsidP="007C38F8">
            <w:pPr>
              <w:widowControl w:val="0"/>
              <w:numPr>
                <w:ilvl w:val="0"/>
                <w:numId w:val="11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włączenia/wyłączenia zintegrowanej karty dźwiękowej, karty sieciowejz poziomu BIOS, bez uruchamiania systemu operacyjnego z dysku twardego komputera lub innych, podłączonych do niego, urządzeń zewnętrznych.</w:t>
            </w:r>
          </w:p>
          <w:p w:rsidR="007C38F8" w:rsidRPr="007C38F8" w:rsidRDefault="007C38F8" w:rsidP="007C38F8">
            <w:pPr>
              <w:widowControl w:val="0"/>
              <w:numPr>
                <w:ilvl w:val="0"/>
                <w:numId w:val="11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ustawienia portów USB w taki sposób aby podczas startu komputer nie wykrywał urządzeń bootujących typu USB, natomiast po uruchomieniu systemu operacyjnego porty USB są aktywne.</w:t>
            </w:r>
          </w:p>
          <w:p w:rsidR="007C38F8" w:rsidRPr="007C38F8" w:rsidRDefault="007C38F8" w:rsidP="007C38F8">
            <w:pPr>
              <w:widowControl w:val="0"/>
              <w:numPr>
                <w:ilvl w:val="0"/>
                <w:numId w:val="11"/>
              </w:numPr>
              <w:tabs>
                <w:tab w:val="left" w:pos="-43"/>
              </w:tabs>
              <w:suppressAutoHyphens/>
              <w:spacing w:after="0" w:line="202" w:lineRule="exact"/>
              <w:ind w:left="356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wyłączania zewnętrznych portów USB;</w:t>
            </w:r>
          </w:p>
          <w:p w:rsidR="007C38F8" w:rsidRPr="007C38F8" w:rsidRDefault="007C38F8" w:rsidP="007C38F8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ind w:left="356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7C38F8" w:rsidRPr="007C38F8" w:rsidRDefault="007C38F8" w:rsidP="007C38F8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Zaimplementowany system diagnostyczny z graficznym interfejsem użytkownika umożliwiający jednoczesne przetestowanie w celu wykrycia usterki zainstalowanych komponentów w oferowanym komputerze bez konieczności uruchamiania systemu operacyjnego. System diagnostyczny uruchomiany z poziomu menu szybkiego bootowania. System opatrzony min. o funkcjonalność :</w:t>
            </w:r>
          </w:p>
          <w:p w:rsidR="007C38F8" w:rsidRPr="007C38F8" w:rsidRDefault="007C38F8" w:rsidP="007C38F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procesora,</w:t>
            </w:r>
          </w:p>
          <w:p w:rsidR="007C38F8" w:rsidRPr="007C38F8" w:rsidRDefault="007C38F8" w:rsidP="007C38F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pamięci,</w:t>
            </w:r>
          </w:p>
          <w:p w:rsidR="007C38F8" w:rsidRPr="007C38F8" w:rsidRDefault="007C38F8" w:rsidP="007C38F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napędu,</w:t>
            </w:r>
          </w:p>
          <w:p w:rsidR="007C38F8" w:rsidRPr="007C38F8" w:rsidRDefault="007C38F8" w:rsidP="007C38F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portów USB.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-8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Aktualizacja BIOS za pomocą strony internetowej producenta w oparciu o najnowsze, aktualne wersje BIOS</w:t>
            </w: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widowControl w:val="0"/>
              <w:tabs>
                <w:tab w:val="left" w:pos="120"/>
              </w:tabs>
              <w:suppressAutoHyphens/>
              <w:spacing w:after="0" w:line="160" w:lineRule="exac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</w:p>
        </w:tc>
      </w:tr>
      <w:tr w:rsidR="007C38F8" w:rsidRPr="007C38F8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Bezpieczeństwo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 xml:space="preserve">Zintegrowany z płytą główną dedykowany układ sprzętowy służący do tworzenia i zarządzania wygenerowanymi przez komputer kluczami szyfrowania. Zabezpieczenie to musi posiadać możliwość szyfrowania poufnych dokumentów przechowywanych na dysku </w:t>
            </w: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lastRenderedPageBreak/>
              <w:t>twardym przy użyciu klucza sprzętowego.</w:t>
            </w:r>
          </w:p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Weryfikacja wygenerowanych przez komputer kluczy szyfrowania musi odbywać się w dedykowanym chipsecie na płycie głównej.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Wirtualizacja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Sprzętowe wsparcie technologii wirtualizacji realizowane łącznie w procesorze, chipsecie płyty głównej oraz w BIOS systemu (możliwość włączenia/wyłączenia sprzętowego wsparcia wirtualizacji).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Głośność jednostki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Głośność jednostki centralnej mierzona zgodnie z normą ISO 7779 oraz wykazana zgodnie z normą ISO 9296 w pozycji obserwatora w trybie pracy dysku twardego (WORK) wynosząca maksymalnie 22 dB.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14.</w:t>
            </w: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tabs>
                <w:tab w:val="left" w:pos="213"/>
              </w:tabs>
              <w:suppressAutoHyphens/>
              <w:spacing w:line="300" w:lineRule="exac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Warunki gwarancji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Minimum 60 miesięcy,</w:t>
            </w:r>
          </w:p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Czas reakcji serwisu – do końca następnego dnia roboczego,</w:t>
            </w:r>
          </w:p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Usługi serwisowe świadczone w miejscu instalacji urządzenia oraz możliwość szybkiego zgłaszania usterek przez portal internetowy, telefon lub mail,</w:t>
            </w:r>
          </w:p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Dostępność wsparcia technicznego przez 8 godzin, 5 dni roboczych (w godz. 8-16) w tygodniu przez cały rok w języku polskim w dni robocze,</w:t>
            </w:r>
          </w:p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 przypadku awarii nośników danych pozostają one u zamawiającego,</w:t>
            </w:r>
          </w:p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Sprzęt musi być fabrycznie nowy, nie używany. w kartonie, zabezpieczony do transportu i magazynowania.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15.</w:t>
            </w: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tabs>
                <w:tab w:val="left" w:pos="213"/>
              </w:tabs>
              <w:suppressAutoHyphens/>
              <w:spacing w:line="300" w:lineRule="exact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Wsparcie techniczne producenta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Możliwość telefonicznego sprawdzenia konfiguracji sprzętowej komputera oraz warunków gwarancji po podaniu numeru seryjnego bezpośrednio u Wykonawcy, producenta lub jego przedstawiciela. Wykonawca poda numer telefonu.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komputera. </w:t>
            </w:r>
            <w:r w:rsidRPr="007C38F8">
              <w:rPr>
                <w:rFonts w:ascii="Times New Roman" w:eastAsia="Times New Roman" w:hAnsi="Times New Roman" w:cs="Calibri"/>
                <w:snapToGrid w:val="0"/>
                <w:color w:val="000000"/>
                <w:sz w:val="18"/>
                <w:szCs w:val="18"/>
                <w:lang w:eastAsia="pl-PL"/>
              </w:rPr>
              <w:t>Wykonawca poda adres strony oraz sposób realizacji wymagania (opis uzyskania w/w informacji)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16.</w:t>
            </w: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System operacyjny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Preinstalowany system Windows 10 Professional PL 64bit (</w:t>
            </w: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nie wymagający aktywacji za pomocą telefonu lub Internetu w firmie Microsoft)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w celu zapewnienia współpracy z środowiskiem sieciowym oraz aplikacjami funkcjonującymi w sądownictwie powszechnym lub równoważny. 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Możliwość odzyskania systemu z partycji recovery dysku zainstalowanego w komputerze.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  <w:lastRenderedPageBreak/>
              <w:t>Oprogramowanie funkcjonujące w środowisku Zamawiającego:</w:t>
            </w:r>
          </w:p>
          <w:p w:rsidR="007C38F8" w:rsidRPr="007C38F8" w:rsidRDefault="007C38F8" w:rsidP="007C38F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sądownictwa firmy OrCom (http://www.orcom.pl/sadownictwo.php#oferta) </w:t>
            </w:r>
          </w:p>
          <w:p w:rsidR="007C38F8" w:rsidRPr="007C38F8" w:rsidRDefault="007C38F8" w:rsidP="007C38F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Oprogramowanie dla sądownictwa firmy Albit (http://www.albit.eu/)</w:t>
            </w:r>
          </w:p>
          <w:p w:rsidR="007C38F8" w:rsidRPr="007C38F8" w:rsidRDefault="007C38F8" w:rsidP="007C38F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sądownictwa firmy Currenda (http://www.currenda.pl/rozwiazania/wymiar-sprawiedliwosci/#rozwiazania) </w:t>
            </w:r>
          </w:p>
          <w:p w:rsidR="007C38F8" w:rsidRPr="007C38F8" w:rsidRDefault="007C38F8" w:rsidP="007C38F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Oprogramowanie dla sądownictwa firmy ZETO Świdnica (http://www.zeto.swidnica.pl/index.php?id=49,0,0,1,0,0)</w:t>
            </w:r>
          </w:p>
          <w:p w:rsidR="007C38F8" w:rsidRPr="007C38F8" w:rsidRDefault="007C38F8" w:rsidP="007C38F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Oprogramowanie dla sądownictwa firmy Macrologic (http://www.macrologic.pl/#)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  <w:t>Ważna uwaga: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Zamawiający nie dopuszcza stosowania emulatorów ani środowisk wirtualnych do uruchomienia wymienionego wyżej oprogramowania.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Cechy równoważności i funkcjonalności oprogramowania systemowego:</w:t>
            </w:r>
          </w:p>
          <w:p w:rsidR="007C38F8" w:rsidRPr="007C38F8" w:rsidRDefault="007C38F8" w:rsidP="007C38F8">
            <w:pPr>
              <w:suppressAutoHyphens/>
              <w:autoSpaceDE w:val="0"/>
              <w:spacing w:line="252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System operacyjny klasy PC w wersji 64-bitowej musi spełniać następujące wymagania poprzez natywne dla niego mechanizmy, bez użycia dodatkowych aplikacji (bez jakichkolwiek emulatorów, implementacji lub programów towarzyszących):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dokonywania aktualizacji i poprawek systemu przez Internet z możliwością wyboru instalowanych poprawek.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dokonywania uaktualnień sterowników urządzeń przez Internet – witrynę Producenta systemu.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Darmowe aktualizacje w ramach wersji systemu operacyjnego przez Internet (niezbędne aktualizacje, poprawki, biuletyny bezpieczeństwa muszą być dostarczane bez dodatkowych opłat) – wymagane podanie nazwy strony serwera WWW.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Internetowa aktualizacja zapewniona w języku polskim.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Wbudowana zapora internetowa (firewall) dla ochrony połączeń internetowych; zintegrowana z systemem konsola do zarządzania ustawieniami zapory i regułami IP v4 i v6.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Zlokalizowane w języku polskim, co najmniej następujące elementy: menu, odtwarzacz multimediów, pomoc, komunikaty systemowe.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większości powszechnie używanych urządzeń peryferyjnych (drukarek, urządzeń sieciowych, standardów USB, Plug&amp;Play, Wi-Fi).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automatycznej zmiany domyślnej drukarki w zależności od sieci, do której podłączony jest komputer.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zdalnej automatycznej instalacji, konfiguracji, administrowania oraz aktualizowania systemu.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Zabezpieczony hasłem hierarchiczny dostęp do systemu, konta i profile </w:t>
            </w: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lastRenderedPageBreak/>
              <w:t>użytkowników zarządzane zdalnie; praca systemu w trybie ochrony kont użytkowników.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Zintegrowany z systemem moduł wyszukiwania informacji (plików różnego typu) dostępny z kilku poziomów: poziom menu, poziom otwartego okna systemu operacyjnego; system wyszukiwania oparty na konfigurowalnym przez użytkownika module indeksacji zasobów lokalnych.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Zintegrowane z systemem operacyjnym narzędzia zwalczające złośliwe oprogramowanie; aktualizacje dostępne u Producenta nieodpłatnie bez ograniczeń czasowych.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Funkcje związane z obsługą komputerów typu TABLET PC, z wbudowanym modułem „uczenia się” pisma użytkownika – obsługa języka polskiego.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rozpoznawania mowy, pozwalającą na sterowanie komputerem głosowo, wraz z modułem „uczenia się” głosu użytkownika.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Zintegrowany z systemem operacyjnym moduł synchronizacji komputera z urządzeniami zewnętrznymi.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Wbudowany system pomocy w języku polskim.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Certyfikat (dokument) Producenta oprogramowania potwierdzający poprawność pracy systemu operacyjnego z dostarczanym sprzętem.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przystosowania stanowiska dla osób niepełnosprawnych (np. słabo widzących).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zarządzania stacją roboczą poprzez polityki – przez politykę rozumiemy zestaw reguł definiujących lub ograniczających funkcjonalność systemu lub aplikacji.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Wdrażanie IPSEC oparte na zestawach reguł definiujących ustawienia zarządzanych w sposób centralny.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Automatyczne występowanie i używanie (wystawianie) certyfikatów PKI X.509.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logowania przy pomocy smartcard.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Rozbudowane polityki bezpieczeństwa – polityki dla systemu operacyjnego i dla wskazanych aplikacji.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Narzędzia służące do administracji, do wykonywania kopii zapasowych polityk i ich odtwarzania oraz generowania raportów z ustawień polityk.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Sun Java i .NET Framework 1.1 i 2.0 i 3.0 i 4.5 i 4.6 i 4.7 – możliwość uruchomienia aplikacji działających we wskazanych środowiskach.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JScript i VBScript – możliwość uruchamiania interpretera poleceń.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Zdalna pomoc i współdzielenie aplikacji – możliwość zdalnego przejęcia sesji zalogowanego użytkownika celem rozwiązania problemu z komputerem.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służące do automatycznego zbudowania obrazu systemu wraz z aplikacjami. Obraz systemu służyć ma do automatycznego upowszechnienia systemu operacyjnego inicjowanego i wykonywanego w całości poprzez sieć komputerową.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 xml:space="preserve">Rozwiązanie umożliwiające wdrożenie nowego obrazu poprzez zdalną instalację.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Graficzne środowisko instalacji i konfiguracji.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Transakcyjny system plików pozwalający na stosowanie przydziałów (ang. quota) na dysku dla użytkowników oraz zapewniający większą niezawodność i pozwalający tworzyć kopie zapasowe.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Zarządzanie kontami użytkowników sieci oraz urządzeniami sieciowymi tj. drukarki, modemy, woluminy dyskowe, usługi katalogowe.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Udostępnianie modemu.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tworzenia kopii zapasowych (Backup); automatyczne wykonywanie kopii plików z możliwością automatycznego przywrócenia wersji wcześniejszej.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Możliwość przywracania plików systemowych.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Funkcjonalność </w:t>
            </w: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pozwalająca na identyfikację sieci komputerowych, do których jest system podłączony, zapamiętywanie ustawień i przypisywanie do min. 3 kategorii bezpieczeństwa (z predefiniowanymi odpowiednio do kategorii ustawieniami zapory sieciowej, udostępniania plików itp.).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blokowania lub dopuszczania dowolnych urządzeń peryferyjnych za pomocą polityk grupowych (np. przy użyciu numerów identyfikacyjnych sprzętu). 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Wszystkie wymienione cechy spełnione są przez system 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Windows 10 Professional PL 64bit</w:t>
            </w: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. Ponadto, jest on preferowany ze względu na dotychczasowe używanie systemów rodziny Windows, a tym samym: </w:t>
            </w:r>
          </w:p>
          <w:p w:rsidR="007C38F8" w:rsidRPr="007C38F8" w:rsidRDefault="007C38F8" w:rsidP="007C38F8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przystosowanie środowiska informatycznego pod ten system (narzędzia sieciowe, stosowane specjalistyczne oprogramowanie); </w:t>
            </w:r>
          </w:p>
          <w:p w:rsidR="007C38F8" w:rsidRPr="007C38F8" w:rsidRDefault="007C38F8" w:rsidP="007C38F8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przeszkolenie administratorów systemów i zwykłych użytkowników; </w:t>
            </w:r>
          </w:p>
          <w:p w:rsidR="007C38F8" w:rsidRPr="007C38F8" w:rsidRDefault="007C38F8" w:rsidP="007C38F8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opracowanie zasad organizacyjnych (z uwzględnienie systemów niejawnych). 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Jeżeli oferent zaproponuje inne rozwiązanie niż Windows 10 Professional PL 64bit  zgodny z wymienionymi kryteriami równoważności musi zapewnić pełne wdrożenie oferowanego rozwiązania, jest zobowiązany do pokrycia wszelkich możliwych kosztów, wymaganych w czasie wdrożenia oferowanego rozwiązania, w szczególności związanych z dostosowaniem infrastruktury informatycznej, oprogramowania nią zarządzającego, systemowego i narzędziowego (licencje, wdrożenie), serwisu gwarancyjnego oraz kosztów certyfikowanych szkoleń dla administratorów i użytkowników oferowanego rozwiązania oraz zapewnić współpracę z używanym obecnie środowiskiem informatycznym.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/>
                <w:sz w:val="18"/>
                <w:szCs w:val="18"/>
                <w:u w:val="single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Wymagane oświadczenie Wykonawcy potwierdzające, iż oferowana licencja systemu operacyjnego pochodzi z legalnego źródła i została zakupiona na terenie Rzeczpospolitej 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 xml:space="preserve">Polskiej.  </w:t>
            </w: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 xml:space="preserve"> 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>17.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Wymagania dodatkowe 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de-DE"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Wbudowane porty: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min. 1 x HDMI (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60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Dopuszcza się również rozwiązania w postaci: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6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- złącze DisplayPort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adapterem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do HDMI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producenta jednostki centralnej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objętego gwarancją zgodną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gwarancją udzieloną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na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jednostkę centralną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6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lub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6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- 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złącze 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DVI-D z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adapterem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do HDMI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[pozwalający na przesłanie obrazu i dźwięku na wyjście HDMI] producenta jednostki centralnej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objętego gwarancją zgodną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gwarancją udzieloną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na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jednostkę centralną. )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val="en-US"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min. 1 x DisplayPort v1.x,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min. 8 x USB w tym: co najmniej 2xUSB z przodu obudowy i min 4xUSB z tyłu obudowy. Z ogólnej liczby portów USB co najmniej jeden musi być w standardzie 3.0, wymagana ilość i rozmieszczenie (na zewnątrz obudowy komputera) portów USB nie może być osiągnięta w wyniku stosowania konwerterów, przejściówek itp.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min. 1 x Karta sieciowa 10/100/1000 Ethernet RJ 45, wspierająca obsługę</w:t>
            </w:r>
            <w:r w:rsidRPr="007C38F8">
              <w:rPr>
                <w:rFonts w:ascii="Times New Roman" w:eastAsia="Times New Roman" w:hAnsi="Times New Roman" w:cs="Calibri"/>
                <w:bCs/>
                <w:i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WoL (funkcja włączana przez użytkownika), PXE 2.1, 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Płyta główna wyposażona w :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min. 1 złącze PCI Express x16 Gen 3,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min. 1 złącze PCIe x1, 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min. 2 złącza DIMM z obsługą min 16GB pamięci RAM każde, 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min. 2  złącza SATA w tym min. 1 złącze SATA 3.0.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18.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Wyposażenie dodatkowe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Klawiatura USB</w:t>
            </w:r>
            <w:r w:rsidRPr="007C38F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 z wydzieloną klawiaturą numeryczną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w układzie </w:t>
            </w:r>
            <w:r w:rsidRPr="007C38F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US-QWERTY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Mysz optyczna USB z dwoma klawiszami oraz rolką (scroll) 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Nagrywarka DVD +/-RW o prędkości nagrywania min. 8x wraz z dołączonym zewnętrznym (innym niż wbudowany w system operacyjny) oprogramowaniem z interfejsem graficznym w polskojęzycznej wersji  do odtwarzania i nagrywania płyt z pełną i bezterminową licencją 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Dołączony fizyczny nośnik (CD/DVD lub pendrive) ze sterownikami.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Dołączony fizyczny nośnik 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 systemem operacyjnym  zainstalowanym na urządzeniu.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17.</w:t>
            </w: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Certyfikaty i dokumenty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Oferowane urządzenia muszą być  wyprodukowane przez producenta, u którego wdrożono normę PN-EN ISO 9001:2015 lub równoważną, w zakresie co najmniej produkcji lub projektowania lub rozwoju -  urządzeń lub systemów  lub rozwiązań informatycznych (producent posiada certyfikat ISO 9001:2015 lub równoważny).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Oferowane urządzenia muszą być  wyprodukowane przez producenta, u którego wdrożono </w:t>
            </w: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lastRenderedPageBreak/>
              <w:t>normę PN-EN ISO 14001 lub równoważną, w zakresie co najmniej produkcji lub projektowania lub rozwoju -  urządzeń lub systemów  lub rozwiązań informatycznych (producent posiada certyfikat ISO 14001 lub równoważny).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Oferowane urządzenie posiadają deklarację zgodności CE</w:t>
            </w:r>
          </w:p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 xml:space="preserve">Wymagane dokumenty:  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  <w:t xml:space="preserve">dot. PassMark 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 xml:space="preserve">Average </w:t>
            </w: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  <w:t>CPU Mark,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dot. Normy PN-EN  ISO 9001:2015 lub równoważnej dla producenta,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dot. Normy PN-EN  ISO 14001 lub równoważnej  dla producenta</w:t>
            </w: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dot. deklaracji zgodności CE,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dot. zgodności z dyrektywą ROHS UE – dopuszcza się wydruk ze strony lub potwierdzenie przez producenta lub Wykonawcę poprzez oświadczenie,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dot. głośności,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Dokument  poświadczający  poprawną  współpracę  oferowanego  modelu  urządzenia  z  systemem operacyjnym Windows  10 (dopuszcza się wydruk lub „zrzut ekranu” ze strony internetowej Microsoft WHCL lub oświadczenie producenta urządzenia),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Dokument, z którego będą wynikały wszystkie parametry oferowanego urządzenia wskazane w Opisie przedmiotu zamówienia: karta katalogowa urządzenia lub oświadczenie producenta lub oświadczenie autoryzowanego przedstawiciela producenta.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Oświadczenie o pozostawieniu nośnika danych u Zamawiającego na  wypadek awarii nośnika danych.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Oświadczenie Wykonawcy potwierdzające, iż oferowana licencja systemu operacyjnego pochodzi z legalnego źródła i została zakupiona na terenie Rzeczpospolitej Polskiej.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Instrukcja krok po kroku włączenia, wyłączenia. skonfigurowania oraz odczytania wymaganych przez Zamawiającego funkcjonalności BIOS.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</w:tc>
      </w:tr>
    </w:tbl>
    <w:p w:rsidR="007C38F8" w:rsidRPr="007C38F8" w:rsidRDefault="007C38F8" w:rsidP="007C3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8F8" w:rsidRPr="00BA47ED" w:rsidRDefault="007C38F8" w:rsidP="00BA47E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Podpis Wykonawcy - osoby upoważnionej</w:t>
      </w:r>
    </w:p>
    <w:p w:rsidR="00DC4A72" w:rsidRDefault="00DC4A72"/>
    <w:sectPr w:rsidR="00DC4A72" w:rsidSect="007C38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3E5" w:rsidRDefault="002B63E5" w:rsidP="005C1751">
      <w:pPr>
        <w:spacing w:after="0" w:line="240" w:lineRule="auto"/>
      </w:pPr>
      <w:r>
        <w:separator/>
      </w:r>
    </w:p>
  </w:endnote>
  <w:endnote w:type="continuationSeparator" w:id="0">
    <w:p w:rsidR="002B63E5" w:rsidRDefault="002B63E5" w:rsidP="005C1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751" w:rsidRDefault="005C17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751" w:rsidRDefault="005C17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751" w:rsidRDefault="005C17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3E5" w:rsidRDefault="002B63E5" w:rsidP="005C1751">
      <w:pPr>
        <w:spacing w:after="0" w:line="240" w:lineRule="auto"/>
      </w:pPr>
      <w:r>
        <w:separator/>
      </w:r>
    </w:p>
  </w:footnote>
  <w:footnote w:type="continuationSeparator" w:id="0">
    <w:p w:rsidR="002B63E5" w:rsidRDefault="002B63E5" w:rsidP="005C1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751" w:rsidRDefault="005C17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751" w:rsidRDefault="005C17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751" w:rsidRDefault="005C17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2C"/>
    <w:multiLevelType w:val="singleLevel"/>
    <w:tmpl w:val="0000002C"/>
    <w:name w:val="WW8Num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0000"/>
        <w:sz w:val="18"/>
        <w:szCs w:val="18"/>
      </w:rPr>
    </w:lvl>
  </w:abstractNum>
  <w:abstractNum w:abstractNumId="2" w15:restartNumberingAfterBreak="0">
    <w:nsid w:val="0253664D"/>
    <w:multiLevelType w:val="hybridMultilevel"/>
    <w:tmpl w:val="DF0EB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2C2F67"/>
    <w:multiLevelType w:val="hybridMultilevel"/>
    <w:tmpl w:val="5AF86388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77E7D"/>
    <w:multiLevelType w:val="hybridMultilevel"/>
    <w:tmpl w:val="85105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B2605"/>
    <w:multiLevelType w:val="hybridMultilevel"/>
    <w:tmpl w:val="71AAEF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411EB"/>
    <w:multiLevelType w:val="hybridMultilevel"/>
    <w:tmpl w:val="533A5C6A"/>
    <w:lvl w:ilvl="0" w:tplc="A5065534">
      <w:start w:val="512"/>
      <w:numFmt w:val="bullet"/>
      <w:lvlText w:val="-"/>
      <w:lvlJc w:val="left"/>
      <w:pPr>
        <w:ind w:left="663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8" w15:restartNumberingAfterBreak="0">
    <w:nsid w:val="2533561A"/>
    <w:multiLevelType w:val="hybridMultilevel"/>
    <w:tmpl w:val="E070C5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1C849D2"/>
    <w:multiLevelType w:val="hybridMultilevel"/>
    <w:tmpl w:val="9D12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62524"/>
    <w:multiLevelType w:val="hybridMultilevel"/>
    <w:tmpl w:val="0A360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2" w15:restartNumberingAfterBreak="0">
    <w:nsid w:val="6E935D28"/>
    <w:multiLevelType w:val="hybridMultilevel"/>
    <w:tmpl w:val="19BA5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8"/>
  </w:num>
  <w:num w:numId="5">
    <w:abstractNumId w:val="4"/>
  </w:num>
  <w:num w:numId="6">
    <w:abstractNumId w:val="7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5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8F8"/>
    <w:rsid w:val="002B63E5"/>
    <w:rsid w:val="005C1751"/>
    <w:rsid w:val="007C38F8"/>
    <w:rsid w:val="00BA47ED"/>
    <w:rsid w:val="00DC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C38F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3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8F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C1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751"/>
  </w:style>
  <w:style w:type="paragraph" w:styleId="Stopka">
    <w:name w:val="footer"/>
    <w:basedOn w:val="Normalny"/>
    <w:link w:val="StopkaZnak"/>
    <w:uiPriority w:val="99"/>
    <w:unhideWhenUsed/>
    <w:rsid w:val="005C1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lugloadsolutions.com/80pluspowersupplies.aspx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2997</Words>
  <Characters>17987</Characters>
  <Application>Microsoft Office Word</Application>
  <DocSecurity>0</DocSecurity>
  <Lines>149</Lines>
  <Paragraphs>41</Paragraphs>
  <ScaleCrop>false</ScaleCrop>
  <Company/>
  <LinksUpToDate>false</LinksUpToDate>
  <CharactersWithSpaces>20943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2020-07-15T08:04:00Z</dcterms:created>
  <dcterms:modified xsi:type="dcterms:W3CDTF">2020-07-15T08:04:00Z</dcterms:modified>
</cp:coreProperties>
</file>