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EF1" w:rsidRPr="005B7EF1" w:rsidRDefault="005B7EF1" w:rsidP="005B7E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bookmarkStart w:id="0" w:name="_GoBack"/>
      <w:bookmarkEnd w:id="0"/>
      <w:r w:rsidRPr="005B7EF1">
        <w:rPr>
          <w:rFonts w:ascii="Times New Roman" w:eastAsia="Times New Roman" w:hAnsi="Times New Roman" w:cs="Times New Roman"/>
          <w:b/>
          <w:lang w:eastAsia="pl-PL"/>
        </w:rPr>
        <w:t xml:space="preserve">Załącznik Nr 1a do siwz </w:t>
      </w:r>
    </w:p>
    <w:p w:rsidR="005B7EF1" w:rsidRPr="005B7EF1" w:rsidRDefault="005B7EF1" w:rsidP="005B7EF1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B7EF1">
        <w:rPr>
          <w:rFonts w:ascii="Times New Roman" w:eastAsia="Times New Roman" w:hAnsi="Times New Roman" w:cs="Times New Roman"/>
          <w:sz w:val="18"/>
          <w:szCs w:val="18"/>
          <w:lang w:eastAsia="pl-PL"/>
        </w:rPr>
        <w:t>Postępowanie Nr G-3710-18/19</w:t>
      </w:r>
    </w:p>
    <w:p w:rsidR="005B7EF1" w:rsidRPr="005B7EF1" w:rsidRDefault="005B7EF1" w:rsidP="005B7EF1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5B7EF1"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  <w:t>Opis przedmiotu zamówienia</w:t>
      </w:r>
    </w:p>
    <w:p w:rsidR="005B7EF1" w:rsidRPr="005B7EF1" w:rsidRDefault="005B7EF1" w:rsidP="005B7EF1">
      <w:pPr>
        <w:numPr>
          <w:ilvl w:val="0"/>
          <w:numId w:val="4"/>
        </w:numPr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bCs/>
          <w:kern w:val="28"/>
          <w:sz w:val="24"/>
          <w:szCs w:val="28"/>
          <w:lang w:val="x-none" w:eastAsia="x-none"/>
        </w:rPr>
      </w:pPr>
      <w:r w:rsidRPr="005B7EF1">
        <w:rPr>
          <w:rFonts w:ascii="Arial" w:eastAsia="Times New Roman" w:hAnsi="Arial" w:cs="Times New Roman"/>
          <w:b/>
          <w:bCs/>
          <w:kern w:val="28"/>
          <w:sz w:val="24"/>
          <w:szCs w:val="28"/>
          <w:lang w:eastAsia="x-none"/>
        </w:rPr>
        <w:t>dotyczy części I</w:t>
      </w:r>
    </w:p>
    <w:p w:rsidR="005B7EF1" w:rsidRPr="005B7EF1" w:rsidRDefault="005B7EF1" w:rsidP="005B7E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7EF1" w:rsidRPr="005B7EF1" w:rsidRDefault="005B7EF1" w:rsidP="005B7E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7EF1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PRZEDMIOTU ZAMÓWIENIA T-05-01-01-010 (Komputer Stacjonarny)</w:t>
      </w:r>
    </w:p>
    <w:tbl>
      <w:tblPr>
        <w:tblW w:w="10569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5"/>
        <w:gridCol w:w="1984"/>
        <w:gridCol w:w="8080"/>
      </w:tblGrid>
      <w:tr w:rsidR="005B7EF1" w:rsidRPr="005B7EF1" w:rsidTr="00325626">
        <w:trPr>
          <w:trHeight w:val="284"/>
          <w:tblHeader/>
        </w:trPr>
        <w:tc>
          <w:tcPr>
            <w:tcW w:w="505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Nazwa komponentu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Wymagane minimalne parametry techniczne komputerów</w:t>
            </w:r>
          </w:p>
        </w:tc>
      </w:tr>
      <w:tr w:rsidR="005B7EF1" w:rsidRPr="005B7EF1" w:rsidTr="00325626">
        <w:trPr>
          <w:trHeight w:val="195"/>
          <w:tblHeader/>
        </w:trPr>
        <w:tc>
          <w:tcPr>
            <w:tcW w:w="505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5B7EF1" w:rsidRPr="005B7EF1" w:rsidRDefault="005B7EF1" w:rsidP="005B7EF1">
            <w:pPr>
              <w:suppressAutoHyphens/>
              <w:spacing w:line="252" w:lineRule="auto"/>
              <w:ind w:left="-71"/>
              <w:jc w:val="center"/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bCs/>
                <w:sz w:val="18"/>
                <w:szCs w:val="18"/>
                <w:lang w:eastAsia="ar-SA"/>
              </w:rPr>
              <w:t>3</w:t>
            </w:r>
          </w:p>
        </w:tc>
      </w:tr>
      <w:tr w:rsidR="005B7EF1" w:rsidRPr="005B7EF1" w:rsidTr="00325626">
        <w:trPr>
          <w:trHeight w:val="178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Typ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Komputer stacjonarny. W ofercie wymagane jest podanie modelu, symbolu oraz producenta.</w:t>
            </w:r>
          </w:p>
        </w:tc>
      </w:tr>
      <w:tr w:rsidR="005B7EF1" w:rsidRPr="005B7EF1" w:rsidTr="00325626">
        <w:trPr>
          <w:trHeight w:val="707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Komputer będzie wykorzystywany dla potrzeb aplikacji biurowych, aplikacji edukacyjnych, aplikacji obliczeniowych, aplikacji graficznych, dostępu do internetu oraz poczty elektronicznej.</w:t>
            </w:r>
          </w:p>
        </w:tc>
      </w:tr>
      <w:tr w:rsidR="005B7EF1" w:rsidRPr="005B7EF1" w:rsidTr="00325626">
        <w:trPr>
          <w:trHeight w:val="676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Procesor wielordzeniowy</w:t>
            </w:r>
          </w:p>
          <w:p w:rsidR="005B7EF1" w:rsidRPr="005B7EF1" w:rsidRDefault="005B7EF1" w:rsidP="005B7EF1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Zgody z architekturą x86</w:t>
            </w:r>
          </w:p>
          <w:p w:rsidR="005B7EF1" w:rsidRPr="005B7EF1" w:rsidRDefault="005B7EF1" w:rsidP="005B7EF1">
            <w:pPr>
              <w:numPr>
                <w:ilvl w:val="0"/>
                <w:numId w:val="12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Wydajność min. 11000 pkt w benchmarku PassMark –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Average 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CPU Mark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color w:val="0000FF"/>
                <w:sz w:val="18"/>
                <w:szCs w:val="18"/>
                <w:u w:val="single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https://www.cpubenchmark.net/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i/>
                <w:i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Wykonawca załączy do oferty wydruk ww. strony z datą nie wcześniejszą niż 14 dni przed składaniem ofert ze wskazaniem wiersza odpowiadającego właściwemu wynikowi testów. Wydruk musi być podpisany przez Wykonawcę.</w:t>
            </w:r>
          </w:p>
        </w:tc>
      </w:tr>
      <w:tr w:rsidR="005B7EF1" w:rsidRPr="005B7EF1" w:rsidTr="00325626">
        <w:trPr>
          <w:trHeight w:val="468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Pamięć operacyjna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Co najmniej 8GB</w:t>
            </w:r>
            <w:r w:rsidRPr="005B7EF1">
              <w:rPr>
                <w:rFonts w:ascii="Times New Roman" w:eastAsia="Times New Roman" w:hAnsi="Times New Roman" w:cs="Times New Roman"/>
                <w:color w:val="00B0F0"/>
                <w:sz w:val="18"/>
                <w:szCs w:val="18"/>
                <w:lang w:eastAsia="ar-SA"/>
              </w:rPr>
              <w:t xml:space="preserve"> 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 możliwością rozbudowy do min 32GB, jeden slot wolny (w przypadku dostarczenia minimalnej wymaganej pamięci w więcej niż jednej kości wymagane jest, aby każda z zamontowanych kości posiadała identyczne parametry pracy)</w:t>
            </w:r>
          </w:p>
        </w:tc>
      </w:tr>
      <w:tr w:rsidR="005B7EF1" w:rsidRPr="005B7EF1" w:rsidTr="00325626">
        <w:trPr>
          <w:trHeight w:val="508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Parametry pamięci masowej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val="sv-SE"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sv-SE" w:eastAsia="ar-SA"/>
              </w:rPr>
              <w:t>Min. 240 GB SSD M.2 PCIe</w:t>
            </w:r>
          </w:p>
        </w:tc>
      </w:tr>
      <w:tr w:rsidR="005B7EF1" w:rsidRPr="005B7EF1" w:rsidTr="00325626">
        <w:trPr>
          <w:trHeight w:val="576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val="sv-SE"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Powinna umożliwiać pracę dwumonitorową z wsparciem co najmniej DirectX 12, OpenGL 4.0, OpenCL 1.2; dopuszcza się możliwość by pamięć karty graficznej była współdzielona z pamięcią RAM, dynamicznie przydzielana do min. 1,7GB;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obsługująca rozdzielczości :</w:t>
            </w:r>
          </w:p>
          <w:p w:rsidR="005B7EF1" w:rsidRPr="005B7EF1" w:rsidRDefault="005B7EF1" w:rsidP="005B7EF1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3840x2160 @ 60Hz (cyfrowo) </w:t>
            </w:r>
          </w:p>
          <w:p w:rsidR="005B7EF1" w:rsidRPr="005B7EF1" w:rsidRDefault="005B7EF1" w:rsidP="005B7EF1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2560x1600 @ 60Hz (cyfrowo) </w:t>
            </w:r>
          </w:p>
          <w:p w:rsidR="005B7EF1" w:rsidRPr="005B7EF1" w:rsidRDefault="005B7EF1" w:rsidP="005B7EF1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4096x2160 @ 24Hz (cyfrowo) </w:t>
            </w:r>
          </w:p>
          <w:p w:rsidR="005B7EF1" w:rsidRPr="005B7EF1" w:rsidRDefault="005B7EF1" w:rsidP="005B7EF1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494"/>
              <w:rPr>
                <w:rFonts w:ascii="Times New Roman" w:eastAsia="Times New Roman" w:hAnsi="Times New Roman" w:cs="Calibri"/>
                <w:b/>
                <w:bCs/>
                <w:color w:val="00B05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1920x1200 @ 60Hz (analogowo i cyfrowo) </w:t>
            </w:r>
          </w:p>
        </w:tc>
      </w:tr>
      <w:tr w:rsidR="005B7EF1" w:rsidRPr="005B7EF1" w:rsidTr="00325626">
        <w:trPr>
          <w:trHeight w:val="1122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Wyposażenie multimedialne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 24-bitowa Karta dźwiękowa, zgodna z High Definition – wbudowana na płycie głównej komputera, wewnętrzny głośnik co najmniej 2W w obudowie komputera.</w:t>
            </w:r>
          </w:p>
          <w:p w:rsidR="005B7EF1" w:rsidRPr="005B7EF1" w:rsidRDefault="005B7EF1" w:rsidP="00C3542B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Port słuchawek i mikrofonu na przednim panelu obudowy oraz </w:t>
            </w:r>
            <w:r w:rsidR="00C3542B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co najmniej port audio out w tylnym panelu obudowy,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 przypadku portu combo należy dostarczyć stosowne przejściówki.</w:t>
            </w:r>
          </w:p>
        </w:tc>
      </w:tr>
      <w:tr w:rsidR="005B7EF1" w:rsidRPr="005B7EF1" w:rsidTr="00325626">
        <w:trPr>
          <w:trHeight w:val="154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ind w:left="360" w:hanging="360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Małogabarytowa typu small form factor z obsługą kart PCI Express o niskim profilu wyposażona w min. 1 kieszenień: 5,25” zewnętrzna typu „slim”. 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Obudowa fabrycznie przystosowana do pracy w orientacji pionowej i poziomej. Wyposażona w dystanse gumowe w obu orientacjach - zapobiegające poślizgom obudowy i zarysowaniu lakieru. Dystanse gumowe w dostarczanym sprzęcie muszą być zamontowane trwale na obudowie (nie dopuszcza się, aby Zamawiający musiał samodzielnie dostosowywać obudowę do wymagań we własnym zakresie). W przypadku, gdy obudowa nie jest fabrycznie wyposażona w dystanse gumowe w którejś z orientacji pracy, a producent danego urządzenia zaleca w takim przypadku wykorzystanie dodatkowego akcesorium (np. specjalna podstawka) należy takie akcesorium dostarczyć wraz z urządzeniem.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Nie dopuszcza się, aby w bocznych ściankach obudowy były usytuowane otwory wentylacyjne, cyrkulacja powietrza tylko przez przedni i tylny panel z zachowaniem ruchu powietrza przód -&gt; tył. 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Moduł konstrukcji obudowy w jednostce centralnej komputera powinien pozwalać na demontaż kart rozszerzeń, napędu optycznego bez konieczności użycia narzędzi (wyklucza się użycia wkrętów, śrub motylkowych).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Zasilacz pracujący w sieci 230V 50/60Hz prądu zmiennego i efektywności min. 92% przy obciążeniu zasilacza na poziomie 50% oraz o efektywności min. 87% przy obciążeniu zasilacza na poziomie 100%,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lastRenderedPageBreak/>
              <w:t>Zasilacz w oferowanym komputerze musi się znajdować na stronie</w:t>
            </w:r>
            <w:r w:rsidRPr="005B7EF1">
              <w:rPr>
                <w:rFonts w:ascii="Times New Roman" w:eastAsia="Times New Roman" w:hAnsi="Times New Roman" w:cs="Calibri"/>
                <w:bCs/>
                <w:color w:val="FF0000"/>
                <w:sz w:val="18"/>
                <w:szCs w:val="18"/>
                <w:lang w:eastAsia="ar-SA"/>
              </w:rPr>
              <w:t xml:space="preserve"> </w:t>
            </w:r>
            <w:hyperlink r:id="rId7" w:history="1">
              <w:r w:rsidRPr="005B7EF1">
                <w:rPr>
                  <w:rFonts w:ascii="Times New Roman" w:eastAsia="Times New Roman" w:hAnsi="Times New Roman" w:cs="Calibri"/>
                  <w:bCs/>
                  <w:color w:val="0000FF"/>
                  <w:sz w:val="18"/>
                  <w:szCs w:val="18"/>
                  <w:u w:val="single"/>
                  <w:lang w:eastAsia="ar-SA"/>
                </w:rPr>
                <w:t>http://www.plugloadsolutions.com/80pluspowersupplies.aspx</w:t>
              </w:r>
            </w:hyperlink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, </w:t>
            </w: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do oferty należy dołączyć wydruk ze w/w strony internetowej potwierdzający spełnienie wymogu 80plus, w przypadku, kiedy u producenta występuje kilka zasilaczy, które są montowane na etapie produkcji w fabryce należy załączyć wydruki dla wszystkich zasilaczy.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B05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Obudowa w jednostce centralnej musi być otwierana bez konieczności użycia narzędzi (wyklucza się użycie standardowych wkrętów, śrub motylkowych) oraz powinna posiadać czujnik otwarcia obudowy współpracujący z oprogramowaniem zarządzająco – diagnostycznym.</w:t>
            </w:r>
            <w:r w:rsidRPr="005B7EF1">
              <w:rPr>
                <w:rFonts w:ascii="Times New Roman" w:eastAsia="Times New Roman" w:hAnsi="Times New Roman" w:cs="Calibri"/>
                <w:bCs/>
                <w:color w:val="00B050"/>
                <w:sz w:val="18"/>
                <w:szCs w:val="18"/>
                <w:lang w:eastAsia="ar-SA"/>
              </w:rPr>
              <w:t xml:space="preserve"> 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Obudowa musi umożliwiać zastosowanie zabezpieczenia fizycznego w postaci linki metalowej (złącze blokady Kensingtona lub </w:t>
            </w:r>
            <w:r w:rsidRPr="005B7EF1">
              <w:rPr>
                <w:rFonts w:ascii="Times New Roman" w:eastAsia="Times New Roman" w:hAnsi="Times New Roman" w:cs="Arial"/>
                <w:bCs/>
                <w:sz w:val="18"/>
                <w:szCs w:val="18"/>
                <w:lang w:eastAsia="ar-SA"/>
              </w:rPr>
              <w:t>równoważne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) oraz kłódki (oczko w obudowie do założenia kłódki).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Obudowa</w:t>
            </w: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musi posiadać wbudowany wizualny lub dźwiękowy system diagnostyczny, służący do sygnalizowania i diagnozowania problemów z komputerem i jego komponentami, a w szczególności musi sygnalizować:</w:t>
            </w:r>
          </w:p>
          <w:p w:rsidR="005B7EF1" w:rsidRPr="005B7EF1" w:rsidRDefault="005B7EF1" w:rsidP="005B7EF1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uszkodzenie lub brak pamięci RAM,</w:t>
            </w:r>
          </w:p>
          <w:p w:rsidR="005B7EF1" w:rsidRPr="005B7EF1" w:rsidRDefault="005B7EF1" w:rsidP="005B7EF1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uszkodzenie kontrolera Video,</w:t>
            </w:r>
          </w:p>
          <w:p w:rsidR="005B7EF1" w:rsidRPr="005B7EF1" w:rsidRDefault="005B7EF1" w:rsidP="005B7EF1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awarię BIOS’u,</w:t>
            </w:r>
          </w:p>
          <w:p w:rsidR="005B7EF1" w:rsidRPr="005B7EF1" w:rsidRDefault="005B7EF1" w:rsidP="005B7EF1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awarię procesora.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73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Oferowany system diagnostyczny nie może wykorzystywać minimalnej ilości wolnych slotów wymaganych w specyfikacji,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Każdy komputer powinien być oznaczony niepowtarzalnym numerem seryjnym umieszonym na obudowie, oraz musi być wpisany na stałe w BIOS.</w:t>
            </w:r>
          </w:p>
        </w:tc>
      </w:tr>
      <w:tr w:rsidR="005B7EF1" w:rsidRPr="005B7EF1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Oferowane modele komputerów muszą poprawnie współpracować z systemem operacyjnym Windows 10.</w:t>
            </w:r>
          </w:p>
        </w:tc>
      </w:tr>
      <w:tr w:rsidR="005B7EF1" w:rsidRPr="005B7EF1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widowControl w:val="0"/>
              <w:tabs>
                <w:tab w:val="left" w:pos="120"/>
              </w:tabs>
              <w:suppressAutoHyphens/>
              <w:spacing w:after="0" w:line="160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BIOS zgodny ze specyfikacją UEFI, pełna obsługa za pomocą przynajmniej klawiatury.</w:t>
            </w:r>
          </w:p>
          <w:p w:rsidR="005B7EF1" w:rsidRPr="005B7EF1" w:rsidRDefault="005B7EF1" w:rsidP="005B7EF1">
            <w:pPr>
              <w:widowControl w:val="0"/>
              <w:tabs>
                <w:tab w:val="left" w:pos="-146"/>
              </w:tabs>
              <w:suppressAutoHyphens/>
              <w:spacing w:after="0" w:line="206" w:lineRule="exact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Możliwość, bez uruchamiania systemu operacyjnego z dysku twardego komputera lub innych podłączonych do niego urządzeń zewnętrznych odczytania z BIOS (nieedytowalnych z poziomu BIOS) bieżących informacji o: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wersji BIOS,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nr seryjnego komputera,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ilości pamięciami RAM,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typie procesora,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MAC adresie zintegrowanej karty sieciowej,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aktualnej dacie (dzień, miesiąc , rok) i godzinie,</w:t>
            </w:r>
          </w:p>
          <w:p w:rsidR="005B7EF1" w:rsidRPr="005B7EF1" w:rsidRDefault="005B7EF1" w:rsidP="005B7EF1">
            <w:pPr>
              <w:numPr>
                <w:ilvl w:val="0"/>
                <w:numId w:val="14"/>
              </w:numPr>
              <w:suppressAutoHyphens/>
              <w:spacing w:after="0" w:line="240" w:lineRule="auto"/>
              <w:ind w:left="357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rodzajach napędów optycznych;</w:t>
            </w:r>
          </w:p>
          <w:p w:rsidR="005B7EF1" w:rsidRPr="005B7EF1" w:rsidRDefault="005B7EF1" w:rsidP="005B7EF1">
            <w:pPr>
              <w:widowControl w:val="0"/>
              <w:suppressAutoHyphens/>
              <w:spacing w:after="0" w:line="206" w:lineRule="exact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5B7EF1" w:rsidRPr="005B7EF1" w:rsidRDefault="005B7EF1" w:rsidP="005B7EF1">
            <w:pPr>
              <w:widowControl w:val="0"/>
              <w:suppressAutoHyphens/>
              <w:spacing w:after="0" w:line="206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Opisana funkcjonalność odczytywania z BIOS informacji o podzespołach komputera musi automatycznie wykrywać zmiany oraz aktualizować informacje w przypadku wymiany któregokolwiek z wymienionych podzespołów na nowy.</w:t>
            </w:r>
          </w:p>
          <w:p w:rsidR="005B7EF1" w:rsidRPr="005B7EF1" w:rsidRDefault="005B7EF1" w:rsidP="005B7EF1">
            <w:pPr>
              <w:numPr>
                <w:ilvl w:val="0"/>
                <w:numId w:val="15"/>
              </w:numPr>
              <w:suppressAutoHyphens/>
              <w:spacing w:after="0" w:line="240" w:lineRule="auto"/>
              <w:ind w:left="356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Funkcja kontroli czujnika otwarcia obudowy i zapis incydentu otwarcia obudowy odczytywalny z poziomu interfejsu BIOS (wymagane logowanie informacji i dostęp do niej z poziomu interfejsu BIOS).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Funkcja blokowania wejścia do BIOS oraz blokowania startu systemu operacyjnego, (gwarantujący utrzymanie zapisanego hasła nawet w przypadku odłączenia wszystkich źródeł zasilania i podtrzymania BIOS).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106"/>
              </w:tabs>
              <w:suppressAutoHyphens/>
              <w:spacing w:after="0" w:line="160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Funkcja blokowania/odblokowania BOOT-owania stacji roboczej z zewnętrznych urządzeń.</w:t>
            </w:r>
          </w:p>
          <w:p w:rsidR="005B7EF1" w:rsidRPr="005B7EF1" w:rsidRDefault="00892BA9" w:rsidP="005B7EF1">
            <w:pPr>
              <w:widowControl w:val="0"/>
              <w:numPr>
                <w:ilvl w:val="0"/>
                <w:numId w:val="15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7C38F8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ustawienia hasła administratora bez uruchamiania systemu operacyjnego z dysku twardego komputera lub innych, podłączonych do niego urządzeń zewnętrznych</w:t>
            </w:r>
            <w:r w:rsidR="005B7EF1"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włączenia/wyłączenia zintegrowanej karty dźwiękowej, karty sieciowejz poziomu BIOS, bez uruchamiania systemu operacyjnego z dysku twardego komputera lub innych, podłączonych do niego, urządzeń zewnętrznych.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106"/>
              </w:tabs>
              <w:suppressAutoHyphens/>
              <w:spacing w:after="0" w:line="206" w:lineRule="exact"/>
              <w:ind w:left="356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ustawienia portów USB w taki sposób aby podczas startu komputer nie wykrywał urządzeń bootujących typu USB, natomiast po uruchomieniu systemu operacyjnego porty USB są aktywne.</w:t>
            </w:r>
          </w:p>
          <w:p w:rsidR="005B7EF1" w:rsidRPr="005B7EF1" w:rsidRDefault="005B7EF1" w:rsidP="005B7EF1">
            <w:pPr>
              <w:widowControl w:val="0"/>
              <w:numPr>
                <w:ilvl w:val="0"/>
                <w:numId w:val="15"/>
              </w:numPr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Możliwość wyłączania zewnętrznych portów USB;</w:t>
            </w:r>
          </w:p>
          <w:p w:rsidR="005B7EF1" w:rsidRPr="005B7EF1" w:rsidRDefault="005B7EF1" w:rsidP="005B7EF1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ind w:left="356"/>
              <w:jc w:val="both"/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5B7EF1" w:rsidRPr="005B7EF1" w:rsidRDefault="005B7EF1" w:rsidP="005B7EF1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jc w:val="both"/>
              <w:rPr>
                <w:rFonts w:ascii="Times New Roman" w:eastAsia="Arial" w:hAnsi="Times New Roman" w:cs="Arial"/>
                <w:sz w:val="18"/>
                <w:szCs w:val="18"/>
                <w:lang w:eastAsia="pl-PL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menu szybkiego bootowania. System opatrzony min. o funkcjonalność :</w:t>
            </w:r>
          </w:p>
          <w:p w:rsidR="005B7EF1" w:rsidRPr="005B7EF1" w:rsidRDefault="005B7EF1" w:rsidP="005B7EF1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procesora,</w:t>
            </w:r>
          </w:p>
          <w:p w:rsidR="005B7EF1" w:rsidRPr="005B7EF1" w:rsidRDefault="005B7EF1" w:rsidP="005B7EF1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pamięci,</w:t>
            </w:r>
          </w:p>
          <w:p w:rsidR="005B7EF1" w:rsidRPr="005B7EF1" w:rsidRDefault="005B7EF1" w:rsidP="005B7EF1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napędu,</w:t>
            </w:r>
          </w:p>
          <w:p w:rsidR="005B7EF1" w:rsidRPr="005B7EF1" w:rsidRDefault="005B7EF1" w:rsidP="005B7EF1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test portów USB.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-8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Arial" w:hAnsi="Times New Roman" w:cs="Arial"/>
                <w:color w:val="000000"/>
                <w:sz w:val="18"/>
                <w:szCs w:val="18"/>
                <w:lang w:eastAsia="pl-PL" w:bidi="pl-PL"/>
              </w:rPr>
              <w:t>Aktualizacja BIOS za pomocą strony internetowej producenta w oparciu o najnowsze, aktualne wersje BIOS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</w:tr>
      <w:tr w:rsidR="005B7EF1" w:rsidRPr="005B7EF1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bCs/>
                <w:color w:val="000000"/>
                <w:sz w:val="18"/>
                <w:szCs w:val="18"/>
                <w:lang w:eastAsia="ar-SA"/>
              </w:rPr>
              <w:t>Weryfikacja wygenerowanych przez komputer kluczy szyfrowania musi odbywać się w dedykowanym chipsecie na płycie głównej.</w:t>
            </w:r>
          </w:p>
        </w:tc>
      </w:tr>
      <w:tr w:rsidR="005B7EF1" w:rsidRPr="005B7EF1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Wirtualizacja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Sprzętowe wsparcie technologii wirtualizacji realizowane łącznie w procesorze, chipsecie płyty głównej oraz w BIOS systemu (możliwość włączenia/wyłączenia sprzętowego wsparcia wirtualizacji).</w:t>
            </w:r>
          </w:p>
        </w:tc>
      </w:tr>
      <w:tr w:rsidR="005B7EF1" w:rsidRPr="005B7EF1" w:rsidTr="00325626">
        <w:trPr>
          <w:trHeight w:val="284"/>
        </w:trPr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Głośność jednostki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Głośność jednostki centralnej mierzona zgodnie z normą ISO 7779 oraz wykazana zgodnie z normą ISO 9296 w pozycji obserwatora w trybie pracy dysku twardego (WORK) wynosząca maksymalnie 22 dB.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14.</w:t>
            </w: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tabs>
                <w:tab w:val="left" w:pos="213"/>
              </w:tabs>
              <w:suppressAutoHyphens/>
              <w:spacing w:line="300" w:lineRule="exact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Minimum 60 miesięcy,</w:t>
            </w:r>
          </w:p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5B7EF1" w:rsidRPr="005B7EF1" w:rsidRDefault="005B7EF1" w:rsidP="005B7EF1">
            <w:pPr>
              <w:numPr>
                <w:ilvl w:val="0"/>
                <w:numId w:val="13"/>
              </w:numPr>
              <w:suppressAutoHyphens/>
              <w:spacing w:after="0" w:line="240" w:lineRule="auto"/>
              <w:ind w:left="352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15.</w:t>
            </w: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tabs>
                <w:tab w:val="left" w:pos="213"/>
              </w:tabs>
              <w:suppressAutoHyphens/>
              <w:spacing w:line="300" w:lineRule="exact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Wsparcie techniczne producenta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Możliwość telefonicznego sprawdzenia konfiguracji sprzętowej komputera oraz warunków gwarancji po podaniu numeru seryjnego bezpośrednio u Wykonawcy, producenta lub jego przedstawiciela. Wykonawca poda numer telefonu.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5B7EF1">
              <w:rPr>
                <w:rFonts w:ascii="Times New Roman" w:eastAsia="Times New Roman" w:hAnsi="Times New Roman" w:cs="Calibri"/>
                <w:snapToGrid w:val="0"/>
                <w:color w:val="000000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16.</w:t>
            </w: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8080" w:type="dxa"/>
            <w:shd w:val="clear" w:color="auto" w:fill="auto"/>
          </w:tcPr>
          <w:p w:rsidR="00D04EB3" w:rsidRPr="005B7EF1" w:rsidRDefault="00D04EB3" w:rsidP="00D04EB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Preinstalowany system Windows 10 Professional PL 64bit (</w:t>
            </w: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nie wymagający </w:t>
            </w:r>
            <w:r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aktywacji za pomocą telefon, dopuszcza się możliwość automatycznego połączenia z firmą Microsoft, w sposób niewymagający wykonania dodatkowych czynności przez użytkownika</w:t>
            </w: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)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w celu zapewnienia współpracy z środowiskiem sieciowym oraz aplikacjami funkcjonującymi w sądownictwie powszechnym lub równoważny. 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Możliwość odzyskania systemu z partycji recovery dysku zainstalowanego w komputerze.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t>Oprogramowanie funkcjonujące w środowisku Zamawiającego:</w:t>
            </w:r>
          </w:p>
          <w:p w:rsidR="005B7EF1" w:rsidRPr="005B7EF1" w:rsidRDefault="005B7EF1" w:rsidP="005B7E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OrCom (http://www.orcom.pl/sadownictwo.php#oferta) </w:t>
            </w:r>
          </w:p>
          <w:p w:rsidR="005B7EF1" w:rsidRPr="005B7EF1" w:rsidRDefault="005B7EF1" w:rsidP="005B7E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5B7EF1" w:rsidRPr="005B7EF1" w:rsidRDefault="005B7EF1" w:rsidP="005B7E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sądownictwa firmy Currenda (http://www.currenda.pl/rozwiazania/wymiar-sprawiedliwosci/#rozwiazania) </w:t>
            </w:r>
          </w:p>
          <w:p w:rsidR="005B7EF1" w:rsidRPr="005B7EF1" w:rsidRDefault="005B7EF1" w:rsidP="005B7E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Oprogramowanie dla sądownictwa firmy ZETO Świdnica (http://www.zeto.swidnica.pl/index.php?id=49,0,0,1,0,0)</w:t>
            </w:r>
          </w:p>
          <w:p w:rsidR="005B7EF1" w:rsidRPr="005B7EF1" w:rsidRDefault="005B7EF1" w:rsidP="005B7E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 w:hanging="284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Oprogramowanie dla sądownictwa firmy Macrologic (http://www.macrologic.pl/#)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/>
                <w:sz w:val="18"/>
                <w:szCs w:val="18"/>
                <w:lang w:eastAsia="ar-SA"/>
              </w:rPr>
              <w:t>Ważna uwaga: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Zamawiający nie dopuszcza stosowania emulatorów ani środowisk wirtualnych do uruchomienia wymienionego wyżej oprogramowania.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Cechy równoważności i funkcjonalności oprogramowania systemowego:</w:t>
            </w:r>
          </w:p>
          <w:p w:rsidR="005B7EF1" w:rsidRPr="005B7EF1" w:rsidRDefault="005B7EF1" w:rsidP="005B7EF1">
            <w:pPr>
              <w:suppressAutoHyphens/>
              <w:autoSpaceDE w:val="0"/>
              <w:spacing w:line="252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jakichkolwiek emulatorów, implementacji lub programów towarzyszących):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Zabezpieczony hasłem hierarchiczny dostęp do systemu, konta i profile użytkowników zarządzane zdalnie; praca systemu w trybie ochrony kont użytkowników.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Zdalna pomoc i współdzielenie aplikacji – możliwość zdalnego przejęcia sesji zalogowanego użytkownika celem rozwiązania problemu z komputerem.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 xml:space="preserve">użytkowników oraz zapewniający większą niezawodność i pozwalający tworzyć kopie zapasowe.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1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Funkcjonalność </w:t>
            </w: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5B7EF1" w:rsidRPr="005B7EF1" w:rsidRDefault="005B7EF1" w:rsidP="005B7EF1">
            <w:pPr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Wszystkie wymienione cechy spełnione są przez system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Windows 10 Professional PL 64bit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. Ponadto, jest on preferowany ze względu na dotychczasowe używanie systemów rodziny Windows, a tym samym: </w:t>
            </w:r>
          </w:p>
          <w:p w:rsidR="005B7EF1" w:rsidRPr="005B7EF1" w:rsidRDefault="005B7EF1" w:rsidP="005B7EF1">
            <w:pPr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przystosowanie środowiska informatycznego pod ten system (narzędzia sieciowe, stosowane specjalistyczne oprogramowanie); </w:t>
            </w:r>
          </w:p>
          <w:p w:rsidR="005B7EF1" w:rsidRPr="005B7EF1" w:rsidRDefault="005B7EF1" w:rsidP="005B7EF1">
            <w:pPr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przeszkolenie administratorów systemów i zwykłych użytkowników; </w:t>
            </w:r>
          </w:p>
          <w:p w:rsidR="005B7EF1" w:rsidRPr="005B7EF1" w:rsidRDefault="005B7EF1" w:rsidP="005B7EF1">
            <w:pPr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Jeżeli oferent zaproponuje inne rozwiązanie niż Windows 10 Professional PL 64bit  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5B7EF1" w:rsidRPr="005B7EF1" w:rsidRDefault="005B7EF1" w:rsidP="005B7EF1">
            <w:pPr>
              <w:suppressAutoHyphens/>
              <w:spacing w:line="252" w:lineRule="auto"/>
              <w:jc w:val="both"/>
              <w:rPr>
                <w:rFonts w:ascii="Times New Roman" w:eastAsia="Times New Roman" w:hAnsi="Times New Roman" w:cs="Calibri"/>
                <w:b/>
                <w:sz w:val="18"/>
                <w:szCs w:val="18"/>
                <w:u w:val="single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Wymagane oświadczenie Wykonawcy potwierdzające, iż oferowana licencja systemu operacyjnego pochodzi z legalnego źródła i została zakupiona na terenie Rzeczpospolitej Polskiej.  </w:t>
            </w: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 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>17.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Wymagania dodatkowe 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de-DE"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Wbudowane porty: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min. 1 x HDMI (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Dopuszcza się również rozwiązania w postaci: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- złącze DisplayPort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adapterem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do HDMI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producenta jednostki centralnej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objętego gwarancją zgodną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gwarancją udzieloną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na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jednostkę centralną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lub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6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-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złącze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DVI-D z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adapterem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do HDMI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[pozwalający na przesłanie obrazu i dźwięku na wyjście HDMI] producenta jednostki centralnej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objętego gwarancją zgodną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gwarancją udzieloną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 xml:space="preserve"> na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jednostkę centralną. )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val="en-US"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val="de-DE" w:eastAsia="ar-SA"/>
              </w:rPr>
              <w:t>min. 1 x DisplayPort v1.x,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min. 8 x USB w tym: co najmniej 2xUSB z przodu obudowy i min 4xUSB z tyłu obudowy. Z ogólnej liczby portów USB co najmniej jeden musi być w standardzie 3.0, wymagana ilość i rozmieszczenie (na zewnątrz obudowy komputera) portów USB nie może być osiągnięta w wyniku stosowania konwerterów, przejściówek itp.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1 x Karta sieciowa 10/100/1000 Ethernet RJ 45, wspierająca obsługę</w:t>
            </w:r>
            <w:r w:rsidRPr="005B7EF1">
              <w:rPr>
                <w:rFonts w:ascii="Times New Roman" w:eastAsia="Times New Roman" w:hAnsi="Times New Roman" w:cs="Calibri"/>
                <w:bCs/>
                <w:i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WoL (funkcja włączana przez użytkownika), PXE 2.1, 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Płyta główna wyposażona w :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1 złącze PCI Express x16 Gen 3,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min. 1 złącze PCIe x1, 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min. 2 złącza DIMM z obsługą min 16GB pamięci RAM każde, 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ind w:left="357"/>
              <w:jc w:val="both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min. 2  złącza SATA w tym min. 1 złącze SATA 3.0.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18.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Klawiatura USB</w:t>
            </w:r>
            <w:r w:rsidRPr="005B7EF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 z wydzieloną klawiaturą numeryczną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w układzie </w:t>
            </w:r>
            <w:r w:rsidRPr="005B7EF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US-QWERTY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Mysz optyczna USB z dwoma klawiszami oraz rolką (scroll) 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Nagrywarka DVD +/-RW o prędkości nagrywania min. 8x wraz z dołączonym zewnętrznym (innym niż wbudowany w system operacyjny) oprogramowaniem z interfejsem graficznym w polskojęzycznej wersji  do odtwarzania i nagrywania płyt z pełną i bezterminową licencją 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Dołączony fizyczny nośnik (CD/DVD lub pendrive) ze sterownikami.</w:t>
            </w:r>
          </w:p>
          <w:p w:rsidR="005B7EF1" w:rsidRPr="005B7EF1" w:rsidRDefault="005B7EF1" w:rsidP="005B7EF1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Dołączony fizyczny nośnik </w:t>
            </w: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z systemem operacyjnym  zainstalowanym na urządzeniu.</w:t>
            </w:r>
          </w:p>
        </w:tc>
      </w:tr>
      <w:tr w:rsidR="005B7EF1" w:rsidRPr="005B7EF1" w:rsidTr="00325626">
        <w:tc>
          <w:tcPr>
            <w:tcW w:w="505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lastRenderedPageBreak/>
              <w:t>17.</w:t>
            </w:r>
          </w:p>
        </w:tc>
        <w:tc>
          <w:tcPr>
            <w:tcW w:w="1984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Certyfikaty i dokumenty</w:t>
            </w:r>
          </w:p>
        </w:tc>
        <w:tc>
          <w:tcPr>
            <w:tcW w:w="8080" w:type="dxa"/>
            <w:shd w:val="clear" w:color="auto" w:fill="auto"/>
          </w:tcPr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Oferowane urządzenia muszą być  wyprodukowane przez producenta, u którego wdrożono normę PN-EN ISO 9001:2015 lub równoważną, w zakresie co najmniej produkcji lub projektowania lub rozwoju -  urządzeń lub systemów  lub rozwiązań informatycznych (producent posiada certyfikat ISO 9001:2015 lub równoważny).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  <w:t>Oferowane urządzenia muszą być  wyprodukowane przez producenta, u którego wdrożono 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5B7EF1" w:rsidRPr="005B7EF1" w:rsidRDefault="005B7EF1" w:rsidP="005B7EF1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Oferowane urządzenie posiadają deklarację zgodności CE</w:t>
            </w:r>
          </w:p>
          <w:p w:rsidR="005B7EF1" w:rsidRPr="005B7EF1" w:rsidRDefault="005B7EF1" w:rsidP="005B7EF1">
            <w:pPr>
              <w:suppressAutoHyphens/>
              <w:spacing w:line="252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 xml:space="preserve">Wymagane dokumenty:  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 xml:space="preserve">dot. PassMark </w:t>
            </w: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 xml:space="preserve">Average 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val="en-US" w:eastAsia="ar-SA"/>
              </w:rPr>
              <w:t>CPU Mark,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Normy PN-EN  ISO 9001:2015 lub równoważnej dla producenta,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dot. Normy PN-EN  ISO 14001 lub równoważnej  dla producenta</w:t>
            </w: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dot. deklaracji zgodności CE,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color w:val="000000"/>
                <w:sz w:val="18"/>
                <w:szCs w:val="18"/>
                <w:lang w:eastAsia="ar-SA"/>
              </w:rPr>
              <w:t>dot. zgodności z dyrektywą ROHS UE – dopuszcza się wydruk ze strony lub potwierdzenie przez producenta lub Wykonawcę poprzez oświadczenie,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bCs/>
                <w:sz w:val="18"/>
                <w:szCs w:val="18"/>
                <w:lang w:eastAsia="ar-SA"/>
              </w:rPr>
              <w:t>dot. głośności,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Oświadczenie o pozostawieniu nośnika danych u Zamawiającego na  wypadek awarii nośnika danych.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Oświadczenie Wykonawcy potwierdzające, iż oferowana licencja systemu operacyjnego pochodzi z legalnego źródła i została zakupiona na terenie Rzeczpospolitej Polskiej.</w:t>
            </w:r>
          </w:p>
          <w:p w:rsidR="005B7EF1" w:rsidRPr="005B7EF1" w:rsidRDefault="005B7EF1" w:rsidP="005B7EF1">
            <w:pPr>
              <w:numPr>
                <w:ilvl w:val="0"/>
                <w:numId w:val="17"/>
              </w:num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5B7EF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</w:tr>
    </w:tbl>
    <w:p w:rsidR="005B7EF1" w:rsidRPr="005B7EF1" w:rsidRDefault="005B7EF1" w:rsidP="005B7EF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5B7EF1" w:rsidRPr="005B7EF1" w:rsidRDefault="005B7EF1" w:rsidP="005B7EF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5B7EF1" w:rsidRPr="005B7EF1" w:rsidRDefault="005B7EF1" w:rsidP="005B7EF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DC4A72" w:rsidRDefault="00DC4A72"/>
    <w:sectPr w:rsidR="00DC4A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2E7" w:rsidRDefault="000052E7" w:rsidP="00FD3D9E">
      <w:pPr>
        <w:spacing w:after="0" w:line="240" w:lineRule="auto"/>
      </w:pPr>
      <w:r>
        <w:separator/>
      </w:r>
    </w:p>
  </w:endnote>
  <w:endnote w:type="continuationSeparator" w:id="0">
    <w:p w:rsidR="000052E7" w:rsidRDefault="000052E7" w:rsidP="00FD3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D9E" w:rsidRDefault="00FD3D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D9E" w:rsidRDefault="00FD3D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D9E" w:rsidRDefault="00FD3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2E7" w:rsidRDefault="000052E7" w:rsidP="00FD3D9E">
      <w:pPr>
        <w:spacing w:after="0" w:line="240" w:lineRule="auto"/>
      </w:pPr>
      <w:r>
        <w:separator/>
      </w:r>
    </w:p>
  </w:footnote>
  <w:footnote w:type="continuationSeparator" w:id="0">
    <w:p w:rsidR="000052E7" w:rsidRDefault="000052E7" w:rsidP="00FD3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D9E" w:rsidRDefault="00FD3D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D9E" w:rsidRDefault="00FD3D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D9E" w:rsidRDefault="00FD3D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2C"/>
    <w:multiLevelType w:val="singleLevel"/>
    <w:tmpl w:val="0000002C"/>
    <w:name w:val="WW8Num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2" w15:restartNumberingAfterBreak="0">
    <w:nsid w:val="0253664D"/>
    <w:multiLevelType w:val="hybridMultilevel"/>
    <w:tmpl w:val="DF0EB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2C2F67"/>
    <w:multiLevelType w:val="hybridMultilevel"/>
    <w:tmpl w:val="5AF86388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1D51B0"/>
    <w:multiLevelType w:val="multilevel"/>
    <w:tmpl w:val="BE8EDF06"/>
    <w:styleLink w:val="Biecalista1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>
      <w:start w:val="1"/>
      <w:numFmt w:val="lowerLetter"/>
      <w:lvlText w:val="%2."/>
      <w:lvlJc w:val="left"/>
      <w:pPr>
        <w:tabs>
          <w:tab w:val="num" w:pos="3567"/>
        </w:tabs>
        <w:ind w:left="3567" w:hanging="360"/>
      </w:pPr>
    </w:lvl>
    <w:lvl w:ilvl="2">
      <w:start w:val="1"/>
      <w:numFmt w:val="lowerRoman"/>
      <w:lvlText w:val="%3."/>
      <w:lvlJc w:val="right"/>
      <w:pPr>
        <w:tabs>
          <w:tab w:val="num" w:pos="4287"/>
        </w:tabs>
        <w:ind w:left="4287" w:hanging="180"/>
      </w:pPr>
    </w:lvl>
    <w:lvl w:ilvl="3">
      <w:start w:val="1"/>
      <w:numFmt w:val="decimal"/>
      <w:lvlText w:val="%4."/>
      <w:lvlJc w:val="left"/>
      <w:pPr>
        <w:tabs>
          <w:tab w:val="num" w:pos="5007"/>
        </w:tabs>
        <w:ind w:left="5007" w:hanging="360"/>
      </w:pPr>
    </w:lvl>
    <w:lvl w:ilvl="4">
      <w:start w:val="1"/>
      <w:numFmt w:val="lowerLetter"/>
      <w:lvlText w:val="%5."/>
      <w:lvlJc w:val="left"/>
      <w:pPr>
        <w:tabs>
          <w:tab w:val="num" w:pos="5727"/>
        </w:tabs>
        <w:ind w:left="5727" w:hanging="360"/>
      </w:pPr>
    </w:lvl>
    <w:lvl w:ilvl="5">
      <w:start w:val="1"/>
      <w:numFmt w:val="lowerRoman"/>
      <w:lvlText w:val="%6."/>
      <w:lvlJc w:val="right"/>
      <w:pPr>
        <w:tabs>
          <w:tab w:val="num" w:pos="6447"/>
        </w:tabs>
        <w:ind w:left="6447" w:hanging="180"/>
      </w:pPr>
    </w:lvl>
    <w:lvl w:ilvl="6">
      <w:start w:val="1"/>
      <w:numFmt w:val="decimal"/>
      <w:lvlText w:val="%7."/>
      <w:lvlJc w:val="left"/>
      <w:pPr>
        <w:tabs>
          <w:tab w:val="num" w:pos="7167"/>
        </w:tabs>
        <w:ind w:left="7167" w:hanging="360"/>
      </w:pPr>
    </w:lvl>
    <w:lvl w:ilvl="7">
      <w:start w:val="1"/>
      <w:numFmt w:val="lowerLetter"/>
      <w:lvlText w:val="%8."/>
      <w:lvlJc w:val="left"/>
      <w:pPr>
        <w:tabs>
          <w:tab w:val="num" w:pos="7887"/>
        </w:tabs>
        <w:ind w:left="7887" w:hanging="360"/>
      </w:pPr>
    </w:lvl>
    <w:lvl w:ilvl="8">
      <w:start w:val="1"/>
      <w:numFmt w:val="lowerRoman"/>
      <w:lvlText w:val="%9."/>
      <w:lvlJc w:val="right"/>
      <w:pPr>
        <w:tabs>
          <w:tab w:val="num" w:pos="8607"/>
        </w:tabs>
        <w:ind w:left="8607" w:hanging="180"/>
      </w:pPr>
    </w:lvl>
  </w:abstractNum>
  <w:abstractNum w:abstractNumId="6" w15:restartNumberingAfterBreak="0">
    <w:nsid w:val="0DF77E7D"/>
    <w:multiLevelType w:val="hybridMultilevel"/>
    <w:tmpl w:val="8510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B2605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411EB"/>
    <w:multiLevelType w:val="hybridMultilevel"/>
    <w:tmpl w:val="533A5C6A"/>
    <w:lvl w:ilvl="0" w:tplc="A5065534">
      <w:start w:val="512"/>
      <w:numFmt w:val="bullet"/>
      <w:lvlText w:val="-"/>
      <w:lvlJc w:val="left"/>
      <w:pPr>
        <w:ind w:left="663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9" w15:restartNumberingAfterBreak="0">
    <w:nsid w:val="23ED771B"/>
    <w:multiLevelType w:val="hybridMultilevel"/>
    <w:tmpl w:val="0D966FD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533561A"/>
    <w:multiLevelType w:val="hybridMultilevel"/>
    <w:tmpl w:val="E070C5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62524"/>
    <w:multiLevelType w:val="hybridMultilevel"/>
    <w:tmpl w:val="0A360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4" w15:restartNumberingAfterBreak="0">
    <w:nsid w:val="6C7B67FD"/>
    <w:multiLevelType w:val="multilevel"/>
    <w:tmpl w:val="981E1DCE"/>
    <w:lvl w:ilvl="0">
      <w:start w:val="1"/>
      <w:numFmt w:val="none"/>
      <w:pStyle w:val="Stylwylicz11pt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upperRoman"/>
      <w:pStyle w:val="NagwkiSIWZ"/>
      <w:lvlText w:val="%1%2"/>
      <w:lvlJc w:val="left"/>
      <w:pPr>
        <w:tabs>
          <w:tab w:val="num" w:pos="284"/>
        </w:tabs>
        <w:ind w:left="576" w:hanging="576"/>
      </w:pPr>
      <w:rPr>
        <w:rFonts w:hint="default"/>
      </w:rPr>
    </w:lvl>
    <w:lvl w:ilvl="2">
      <w:start w:val="1"/>
      <w:numFmt w:val="decimal"/>
      <w:lvlText w:val="%1%3."/>
      <w:lvlJc w:val="left"/>
      <w:pPr>
        <w:tabs>
          <w:tab w:val="num" w:pos="567"/>
        </w:tabs>
        <w:ind w:left="720" w:hanging="720"/>
      </w:pPr>
      <w:rPr>
        <w:rFonts w:hint="default"/>
      </w:rPr>
    </w:lvl>
    <w:lvl w:ilvl="3">
      <w:start w:val="1"/>
      <w:numFmt w:val="decimal"/>
      <w:pStyle w:val="Tabela-Siatka"/>
      <w:lvlText w:val="%1%4)"/>
      <w:lvlJc w:val="left"/>
      <w:pPr>
        <w:tabs>
          <w:tab w:val="num" w:pos="1404"/>
        </w:tabs>
        <w:ind w:left="1404" w:hanging="864"/>
      </w:pPr>
      <w:rPr>
        <w:rFonts w:hint="default"/>
        <w:b w:val="0"/>
      </w:rPr>
    </w:lvl>
    <w:lvl w:ilvl="4">
      <w:start w:val="1"/>
      <w:numFmt w:val="lowerLetter"/>
      <w:pStyle w:val="opispunkt"/>
      <w:lvlText w:val="%1%5)"/>
      <w:lvlJc w:val="left"/>
      <w:pPr>
        <w:tabs>
          <w:tab w:val="num" w:pos="2710"/>
        </w:tabs>
        <w:ind w:left="2710" w:hanging="100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bullet"/>
      <w:lvlText w:val=""/>
      <w:lvlJc w:val="left"/>
      <w:pPr>
        <w:tabs>
          <w:tab w:val="num" w:pos="1152"/>
        </w:tabs>
        <w:ind w:left="1152" w:hanging="1152"/>
      </w:pPr>
      <w:rPr>
        <w:rFonts w:ascii="Symbol" w:hAnsi="Symbol" w:hint="default"/>
        <w:color w:val="auto"/>
      </w:rPr>
    </w:lvl>
    <w:lvl w:ilvl="6">
      <w:start w:val="1"/>
      <w:numFmt w:val="none"/>
      <w:lvlText w:val="%7%1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6E935D28"/>
    <w:multiLevelType w:val="hybridMultilevel"/>
    <w:tmpl w:val="19BA5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56F8C"/>
    <w:multiLevelType w:val="multilevel"/>
    <w:tmpl w:val="53182CF6"/>
    <w:lvl w:ilvl="0">
      <w:start w:val="1"/>
      <w:numFmt w:val="upperRoman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ascii="Times New Roman" w:eastAsia="SimSun" w:hAnsi="Times New Roman" w:cs="Times New Roman"/>
        <w:b w:val="0"/>
      </w:rPr>
    </w:lvl>
    <w:lvl w:ilvl="3">
      <w:start w:val="1"/>
      <w:numFmt w:val="decimal"/>
      <w:lvlText w:val="%4)"/>
      <w:lvlJc w:val="left"/>
      <w:pPr>
        <w:tabs>
          <w:tab w:val="num" w:pos="1797"/>
        </w:tabs>
        <w:ind w:left="1797" w:hanging="360"/>
      </w:pPr>
      <w:rPr>
        <w:rFonts w:ascii="Times New Roman" w:eastAsia="SimSun" w:hAnsi="Times New Roman"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eastAsia="SimSun" w:hAnsi="Times New Roman" w:cs="Times New Roman" w:hint="default"/>
        <w:strike w:val="0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16"/>
  </w:num>
  <w:num w:numId="4">
    <w:abstractNumId w:val="14"/>
  </w:num>
  <w:num w:numId="5">
    <w:abstractNumId w:val="11"/>
  </w:num>
  <w:num w:numId="6">
    <w:abstractNumId w:val="0"/>
  </w:num>
  <w:num w:numId="7">
    <w:abstractNumId w:val="1"/>
  </w:num>
  <w:num w:numId="8">
    <w:abstractNumId w:val="10"/>
  </w:num>
  <w:num w:numId="9">
    <w:abstractNumId w:val="4"/>
  </w:num>
  <w:num w:numId="10">
    <w:abstractNumId w:val="8"/>
  </w:num>
  <w:num w:numId="11">
    <w:abstractNumId w:val="3"/>
  </w:num>
  <w:num w:numId="12">
    <w:abstractNumId w:val="12"/>
  </w:num>
  <w:num w:numId="13">
    <w:abstractNumId w:val="2"/>
  </w:num>
  <w:num w:numId="14">
    <w:abstractNumId w:val="13"/>
  </w:num>
  <w:num w:numId="15">
    <w:abstractNumId w:val="6"/>
  </w:num>
  <w:num w:numId="16">
    <w:abstractNumId w:val="7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F1"/>
    <w:rsid w:val="000052E7"/>
    <w:rsid w:val="005B7EF1"/>
    <w:rsid w:val="008220AD"/>
    <w:rsid w:val="00892BA9"/>
    <w:rsid w:val="00C3542B"/>
    <w:rsid w:val="00D04EB3"/>
    <w:rsid w:val="00DC4A72"/>
    <w:rsid w:val="00FD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7E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kiSIWZ">
    <w:name w:val="Nagłówki SIWZ"/>
    <w:basedOn w:val="Nagwek1"/>
    <w:next w:val="Normalny"/>
    <w:autoRedefine/>
    <w:qFormat/>
    <w:rsid w:val="005B7EF1"/>
    <w:pPr>
      <w:keepLines w:val="0"/>
      <w:numPr>
        <w:ilvl w:val="1"/>
        <w:numId w:val="4"/>
      </w:numPr>
      <w:tabs>
        <w:tab w:val="clear" w:pos="284"/>
        <w:tab w:val="num" w:pos="360"/>
        <w:tab w:val="left" w:pos="960"/>
        <w:tab w:val="num" w:pos="993"/>
      </w:tabs>
      <w:autoSpaceDE w:val="0"/>
      <w:autoSpaceDN w:val="0"/>
      <w:adjustRightInd w:val="0"/>
      <w:spacing w:before="120" w:after="120" w:line="240" w:lineRule="auto"/>
      <w:ind w:left="993" w:hanging="636"/>
      <w:jc w:val="both"/>
    </w:pPr>
    <w:rPr>
      <w:rFonts w:ascii="Times New Roman" w:eastAsia="Times New Roman" w:hAnsi="Times New Roman" w:cs="Times New Roman"/>
      <w:b w:val="0"/>
      <w:color w:val="auto"/>
      <w:kern w:val="32"/>
      <w:sz w:val="24"/>
      <w:szCs w:val="20"/>
      <w:lang w:eastAsia="pl-PL"/>
    </w:rPr>
  </w:style>
  <w:style w:type="character" w:styleId="Hipercze">
    <w:name w:val="Hyperlink"/>
    <w:rsid w:val="005B7EF1"/>
    <w:rPr>
      <w:color w:val="0000FF"/>
      <w:u w:val="single"/>
    </w:rPr>
  </w:style>
  <w:style w:type="table" w:styleId="Tabela-Siatka">
    <w:name w:val="Table Grid"/>
    <w:basedOn w:val="Standardowy"/>
    <w:rsid w:val="005B7EF1"/>
    <w:pPr>
      <w:numPr>
        <w:ilvl w:val="3"/>
        <w:numId w:val="4"/>
      </w:numPr>
      <w:tabs>
        <w:tab w:val="clear" w:pos="1404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punkt">
    <w:name w:val="opis_punkt"/>
    <w:basedOn w:val="Normalny"/>
    <w:autoRedefine/>
    <w:rsid w:val="005B7EF1"/>
    <w:pPr>
      <w:widowControl w:val="0"/>
      <w:numPr>
        <w:ilvl w:val="4"/>
        <w:numId w:val="4"/>
      </w:numPr>
      <w:tabs>
        <w:tab w:val="clear" w:pos="2710"/>
        <w:tab w:val="num" w:pos="360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 w:val="24"/>
      <w:szCs w:val="24"/>
      <w:lang w:eastAsia="pl-PL"/>
    </w:rPr>
  </w:style>
  <w:style w:type="numbering" w:customStyle="1" w:styleId="Biecalista1">
    <w:name w:val="Bieżąca lista1"/>
    <w:rsid w:val="005B7EF1"/>
    <w:pPr>
      <w:numPr>
        <w:numId w:val="2"/>
      </w:numPr>
    </w:pPr>
  </w:style>
  <w:style w:type="paragraph" w:customStyle="1" w:styleId="Stylwylicz11pt">
    <w:name w:val="Styl wylicz + 11 pt"/>
    <w:basedOn w:val="Normalny"/>
    <w:autoRedefine/>
    <w:rsid w:val="005B7EF1"/>
    <w:pPr>
      <w:widowControl w:val="0"/>
      <w:numPr>
        <w:numId w:val="4"/>
      </w:numPr>
      <w:tabs>
        <w:tab w:val="clear" w:pos="432"/>
        <w:tab w:val="num" w:pos="1353"/>
      </w:tabs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SimSun" w:hAnsi="Times New Roman" w:cs="Times New Roman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uiPriority w:val="9"/>
    <w:rsid w:val="005B7E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FD3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3D9E"/>
  </w:style>
  <w:style w:type="paragraph" w:styleId="Stopka">
    <w:name w:val="footer"/>
    <w:basedOn w:val="Normalny"/>
    <w:link w:val="StopkaZnak"/>
    <w:uiPriority w:val="99"/>
    <w:unhideWhenUsed/>
    <w:rsid w:val="00FD3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3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lugloadsolutions.com/80pluspowersupplies.asp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2967</Words>
  <Characters>17803</Characters>
  <Application>Microsoft Office Word</Application>
  <DocSecurity>0</DocSecurity>
  <Lines>148</Lines>
  <Paragraphs>41</Paragraphs>
  <ScaleCrop>false</ScaleCrop>
  <Company/>
  <LinksUpToDate>false</LinksUpToDate>
  <CharactersWithSpaces>20729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2020-07-15T08:09:00Z</dcterms:created>
  <dcterms:modified xsi:type="dcterms:W3CDTF">2020-07-15T08:09:00Z</dcterms:modified>
</cp:coreProperties>
</file>