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85E" w:rsidRPr="009A585E" w:rsidRDefault="009A585E" w:rsidP="009A585E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bookmarkStart w:id="0" w:name="_GoBack"/>
      <w:bookmarkEnd w:id="0"/>
    </w:p>
    <w:p w:rsidR="009A585E" w:rsidRPr="009A585E" w:rsidRDefault="009A585E" w:rsidP="009A585E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9A585E" w:rsidRPr="009A585E" w:rsidRDefault="009A585E" w:rsidP="009A585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pl-PL"/>
        </w:rPr>
      </w:pPr>
      <w:r w:rsidRPr="009A585E">
        <w:rPr>
          <w:rFonts w:ascii="Times New Roman" w:eastAsia="Times New Roman" w:hAnsi="Times New Roman" w:cs="Times New Roman"/>
          <w:b/>
          <w:lang w:eastAsia="pl-PL"/>
        </w:rPr>
        <w:t xml:space="preserve">Załącznik Nr 1b do siwz </w:t>
      </w:r>
    </w:p>
    <w:p w:rsidR="009A585E" w:rsidRPr="009A585E" w:rsidRDefault="009A585E" w:rsidP="009A585E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A585E">
        <w:rPr>
          <w:rFonts w:ascii="Times New Roman" w:eastAsia="Times New Roman" w:hAnsi="Times New Roman" w:cs="Times New Roman"/>
          <w:sz w:val="18"/>
          <w:szCs w:val="18"/>
          <w:lang w:eastAsia="pl-PL"/>
        </w:rPr>
        <w:t>Postępowanie Nr G-3710-18/19</w:t>
      </w:r>
    </w:p>
    <w:p w:rsidR="009A585E" w:rsidRPr="009A585E" w:rsidRDefault="009A585E" w:rsidP="009A585E">
      <w:pPr>
        <w:numPr>
          <w:ilvl w:val="0"/>
          <w:numId w:val="4"/>
        </w:numPr>
        <w:spacing w:after="0" w:line="240" w:lineRule="auto"/>
        <w:jc w:val="center"/>
        <w:outlineLvl w:val="0"/>
        <w:rPr>
          <w:rFonts w:ascii="Arial" w:eastAsia="Times New Roman" w:hAnsi="Arial" w:cs="Times New Roman"/>
          <w:b/>
          <w:bCs/>
          <w:kern w:val="28"/>
          <w:sz w:val="24"/>
          <w:szCs w:val="28"/>
          <w:lang w:val="x-none" w:eastAsia="x-none"/>
        </w:rPr>
      </w:pPr>
      <w:r w:rsidRPr="009A585E">
        <w:rPr>
          <w:rFonts w:ascii="Arial" w:eastAsia="Times New Roman" w:hAnsi="Arial" w:cs="Times New Roman"/>
          <w:b/>
          <w:bCs/>
          <w:kern w:val="28"/>
          <w:sz w:val="24"/>
          <w:szCs w:val="28"/>
          <w:lang w:val="x-none" w:eastAsia="x-none"/>
        </w:rPr>
        <w:t>Opis przedmiotu zamówienia</w:t>
      </w:r>
    </w:p>
    <w:p w:rsidR="009A585E" w:rsidRPr="009A585E" w:rsidRDefault="009A585E" w:rsidP="009A585E">
      <w:pPr>
        <w:numPr>
          <w:ilvl w:val="0"/>
          <w:numId w:val="4"/>
        </w:numPr>
        <w:spacing w:after="0" w:line="240" w:lineRule="auto"/>
        <w:jc w:val="center"/>
        <w:outlineLvl w:val="0"/>
        <w:rPr>
          <w:rFonts w:ascii="Arial" w:eastAsia="Times New Roman" w:hAnsi="Arial" w:cs="Times New Roman"/>
          <w:b/>
          <w:bCs/>
          <w:kern w:val="28"/>
          <w:sz w:val="24"/>
          <w:szCs w:val="28"/>
          <w:lang w:val="x-none" w:eastAsia="x-none"/>
        </w:rPr>
      </w:pPr>
      <w:r w:rsidRPr="009A585E">
        <w:rPr>
          <w:rFonts w:ascii="Arial" w:eastAsia="Times New Roman" w:hAnsi="Arial" w:cs="Times New Roman"/>
          <w:b/>
          <w:bCs/>
          <w:kern w:val="28"/>
          <w:sz w:val="24"/>
          <w:szCs w:val="28"/>
          <w:lang w:eastAsia="x-none"/>
        </w:rPr>
        <w:t>dotyczy części II</w:t>
      </w:r>
    </w:p>
    <w:p w:rsidR="009A585E" w:rsidRPr="009A585E" w:rsidRDefault="009A585E" w:rsidP="009A585E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9A585E" w:rsidRPr="009A585E" w:rsidRDefault="009A585E" w:rsidP="009A58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585E">
        <w:rPr>
          <w:rFonts w:ascii="Times New Roman" w:eastAsia="Times New Roman" w:hAnsi="Times New Roman" w:cs="Times New Roman"/>
          <w:sz w:val="24"/>
          <w:szCs w:val="24"/>
          <w:lang w:eastAsia="pl-PL"/>
        </w:rPr>
        <w:t>OPIS PRZEDMIOTU ZAMÓWIENIA T-05-01-03-006 (All in One)</w:t>
      </w:r>
    </w:p>
    <w:tbl>
      <w:tblPr>
        <w:tblW w:w="4980" w:type="pct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33"/>
        <w:gridCol w:w="1749"/>
        <w:gridCol w:w="6995"/>
      </w:tblGrid>
      <w:tr w:rsidR="009A585E" w:rsidRPr="009A585E" w:rsidTr="00325626">
        <w:trPr>
          <w:trHeight w:val="284"/>
          <w:tblHeader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  <w:vAlign w:val="center"/>
            <w:hideMark/>
          </w:tcPr>
          <w:p w:rsidR="009A585E" w:rsidRPr="009A585E" w:rsidRDefault="009A585E" w:rsidP="009A585E">
            <w:pPr>
              <w:spacing w:after="0" w:line="240" w:lineRule="auto"/>
              <w:ind w:left="113" w:hanging="113"/>
              <w:jc w:val="center"/>
              <w:rPr>
                <w:rFonts w:ascii="Times New Roman" w:eastAsia="Times New Roman" w:hAnsi="Times New Roman" w:cs="Calibri"/>
                <w:b/>
                <w:sz w:val="24"/>
                <w:szCs w:val="24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  <w:vAlign w:val="center"/>
            <w:hideMark/>
          </w:tcPr>
          <w:p w:rsidR="009A585E" w:rsidRPr="009A585E" w:rsidRDefault="009A585E" w:rsidP="009A585E">
            <w:pPr>
              <w:spacing w:after="0" w:line="240" w:lineRule="auto"/>
              <w:ind w:left="113" w:hanging="113"/>
              <w:jc w:val="center"/>
              <w:rPr>
                <w:rFonts w:ascii="Times New Roman" w:eastAsia="Times New Roman" w:hAnsi="Times New Roman" w:cs="Calibri"/>
                <w:b/>
                <w:sz w:val="24"/>
                <w:szCs w:val="24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pl-PL"/>
              </w:rPr>
              <w:t>Nazwa komponentu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  <w:vAlign w:val="center"/>
            <w:hideMark/>
          </w:tcPr>
          <w:p w:rsidR="009A585E" w:rsidRPr="009A585E" w:rsidRDefault="009A585E" w:rsidP="009A585E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4"/>
                <w:szCs w:val="24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pl-PL"/>
              </w:rPr>
              <w:t>Wymagane minimalne</w:t>
            </w:r>
          </w:p>
        </w:tc>
      </w:tr>
      <w:tr w:rsidR="009A585E" w:rsidRPr="009A585E" w:rsidTr="00325626">
        <w:trPr>
          <w:trHeight w:val="284"/>
          <w:tblHeader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113" w:hanging="113"/>
              <w:jc w:val="center"/>
              <w:rPr>
                <w:rFonts w:ascii="Times New Roman" w:eastAsia="Times New Roman" w:hAnsi="Times New Roman" w:cs="Calibri"/>
                <w:b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113" w:hanging="113"/>
              <w:jc w:val="center"/>
              <w:rPr>
                <w:rFonts w:ascii="Times New Roman" w:eastAsia="Times New Roman" w:hAnsi="Times New Roman" w:cs="Calibri"/>
                <w:b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  <w:vAlign w:val="center"/>
          </w:tcPr>
          <w:p w:rsidR="009A585E" w:rsidRPr="009A585E" w:rsidRDefault="009A585E" w:rsidP="009A585E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/>
                <w:sz w:val="18"/>
                <w:szCs w:val="18"/>
                <w:lang w:eastAsia="pl-PL"/>
              </w:rPr>
              <w:t>3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-9"/>
              <w:jc w:val="center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Typ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85E" w:rsidRPr="009A585E" w:rsidRDefault="009A585E" w:rsidP="009A585E">
            <w:pPr>
              <w:spacing w:after="0" w:line="240" w:lineRule="auto"/>
              <w:ind w:left="76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Komputer ze zintegrowanym monitorem typu All-In-One.</w:t>
            </w:r>
          </w:p>
          <w:p w:rsidR="009A585E" w:rsidRPr="009A585E" w:rsidRDefault="009A585E" w:rsidP="009A585E">
            <w:pPr>
              <w:spacing w:after="0" w:line="240" w:lineRule="auto"/>
              <w:ind w:left="76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Stopa powinna umożliwiać regulację wysokości oraz kąta nachylenia ekranu (przód/tył).</w:t>
            </w:r>
          </w:p>
          <w:p w:rsidR="009A585E" w:rsidRPr="009A585E" w:rsidRDefault="009A585E" w:rsidP="009A585E">
            <w:pPr>
              <w:spacing w:after="0" w:line="240" w:lineRule="auto"/>
              <w:ind w:left="76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W ofercie wymagane jest podanie modelu, symbolu oraz producenta.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-9"/>
              <w:jc w:val="center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Zastosowanie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85E" w:rsidRPr="009A585E" w:rsidRDefault="009A585E" w:rsidP="009A585E">
            <w:pPr>
              <w:spacing w:after="0" w:line="240" w:lineRule="auto"/>
              <w:ind w:left="76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Komputer będzie wykorzystywany dla potrzeb aplikacji biurowych, aplikacji edukacyjnych, aplikacji obliczeniowych, aplikacji graficznych, dostępu do Internetu oraz poczty elektronicznej.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-9"/>
              <w:jc w:val="center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Wyświetlacz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85E" w:rsidRPr="009A585E" w:rsidRDefault="009A585E" w:rsidP="009A585E">
            <w:pPr>
              <w:spacing w:after="0" w:line="240" w:lineRule="auto"/>
              <w:ind w:left="76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Minimum 21” – maksimum 24” rozdzielczość obsługiwana co najmniej 1920x1080</w:t>
            </w: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 xml:space="preserve"> z matrycą antyrefleksyjną lub matową. Nie dopuszcza się matrycy lustrzanej.</w:t>
            </w:r>
          </w:p>
          <w:p w:rsidR="009A585E" w:rsidRPr="009A585E" w:rsidRDefault="009A585E" w:rsidP="009A585E">
            <w:pPr>
              <w:spacing w:after="0" w:line="240" w:lineRule="auto"/>
              <w:ind w:left="76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Kontrast (Typowy): minimum 1000:1</w:t>
            </w:r>
          </w:p>
          <w:p w:rsidR="009A585E" w:rsidRPr="009A585E" w:rsidRDefault="009A585E" w:rsidP="009A585E">
            <w:pPr>
              <w:spacing w:after="0" w:line="240" w:lineRule="auto"/>
              <w:ind w:left="76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Jasność: minimum 250cd/m</w:t>
            </w:r>
            <w:r w:rsidRPr="009A585E">
              <w:rPr>
                <w:rFonts w:ascii="Times New Roman" w:eastAsia="Times New Roman" w:hAnsi="Times New Roman" w:cs="Calibri"/>
                <w:sz w:val="18"/>
                <w:szCs w:val="18"/>
                <w:vertAlign w:val="superscript"/>
                <w:lang w:eastAsia="pl-PL"/>
              </w:rPr>
              <w:t>2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-9"/>
              <w:jc w:val="center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Procesor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85E" w:rsidRPr="009A585E" w:rsidRDefault="009A585E" w:rsidP="009A585E">
            <w:pPr>
              <w:numPr>
                <w:ilvl w:val="0"/>
                <w:numId w:val="8"/>
              </w:numPr>
              <w:spacing w:after="0" w:line="240" w:lineRule="auto"/>
              <w:ind w:left="353" w:hanging="281"/>
              <w:contextualSpacing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Procesor wielordzeniowy,</w:t>
            </w:r>
          </w:p>
          <w:p w:rsidR="009A585E" w:rsidRPr="009A585E" w:rsidRDefault="009A585E" w:rsidP="009A585E">
            <w:pPr>
              <w:numPr>
                <w:ilvl w:val="0"/>
                <w:numId w:val="8"/>
              </w:numPr>
              <w:spacing w:after="0" w:line="240" w:lineRule="auto"/>
              <w:ind w:left="353" w:hanging="281"/>
              <w:contextualSpacing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Zgody z architekturą x86,</w:t>
            </w:r>
          </w:p>
          <w:p w:rsidR="009A585E" w:rsidRPr="009A585E" w:rsidRDefault="009A585E" w:rsidP="009A585E">
            <w:pPr>
              <w:numPr>
                <w:ilvl w:val="0"/>
                <w:numId w:val="8"/>
              </w:numPr>
              <w:spacing w:after="0" w:line="240" w:lineRule="auto"/>
              <w:ind w:left="353" w:hanging="281"/>
              <w:contextualSpacing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Wydajność min. 11000 pkt w benchmarku PassMark – Average CPU Mark Wykonawca załączy do oferty wydruk ze strony https://www.cpubenchmark.net/ z datą nie wcześniej niż 14 dni przed składaniem ofert ze wskazaniem wiersza odpowiadającego właściwemu wynikowi testów. Wydruk musi być podpisany przez Wykonawcę.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-9"/>
              <w:jc w:val="center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Płyta główna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85E" w:rsidRPr="009A585E" w:rsidRDefault="009A585E" w:rsidP="009A585E">
            <w:pPr>
              <w:tabs>
                <w:tab w:val="num" w:pos="172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Wbudowane porty i złącza:</w:t>
            </w:r>
          </w:p>
          <w:p w:rsidR="009A585E" w:rsidRPr="009A585E" w:rsidRDefault="009A585E" w:rsidP="009A585E">
            <w:pPr>
              <w:numPr>
                <w:ilvl w:val="0"/>
                <w:numId w:val="10"/>
              </w:numPr>
              <w:spacing w:after="0" w:line="240" w:lineRule="auto"/>
              <w:ind w:left="353" w:hanging="283"/>
              <w:contextualSpacing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2 x Gniazdo pamięci RAM,</w:t>
            </w:r>
          </w:p>
          <w:p w:rsidR="009A585E" w:rsidRPr="009A585E" w:rsidRDefault="009A585E" w:rsidP="009A585E">
            <w:pPr>
              <w:numPr>
                <w:ilvl w:val="0"/>
                <w:numId w:val="10"/>
              </w:numPr>
              <w:spacing w:after="0" w:line="240" w:lineRule="auto"/>
              <w:ind w:left="353" w:hanging="283"/>
              <w:contextualSpacing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 xml:space="preserve">1 x Karta </w:t>
            </w: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 xml:space="preserve">Ethernet RJ-45 (10/100/1000) zintegrowana z płytą główną </w:t>
            </w:r>
            <w:r w:rsidRPr="009A585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wspierająca obsługę WoL (funkcja włączana przez użytkownika) </w:t>
            </w:r>
            <w:r w:rsidRPr="009A585E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pl-PL"/>
              </w:rPr>
              <w:t>PXE 2.1</w:t>
            </w:r>
          </w:p>
          <w:p w:rsidR="009A585E" w:rsidRPr="009A585E" w:rsidRDefault="009A585E" w:rsidP="009A585E">
            <w:pPr>
              <w:tabs>
                <w:tab w:val="num" w:pos="1724"/>
              </w:tabs>
              <w:spacing w:after="0" w:line="240" w:lineRule="auto"/>
              <w:ind w:left="354"/>
              <w:contextualSpacing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</w:p>
          <w:p w:rsidR="009A585E" w:rsidRPr="009A585E" w:rsidRDefault="009A585E" w:rsidP="009A585E">
            <w:pPr>
              <w:spacing w:after="0" w:line="240" w:lineRule="auto"/>
              <w:ind w:left="70" w:hanging="73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Porty zewnętrzne obudowy:</w:t>
            </w:r>
          </w:p>
          <w:p w:rsidR="009A585E" w:rsidRPr="009A585E" w:rsidRDefault="009A585E" w:rsidP="009A585E">
            <w:pPr>
              <w:numPr>
                <w:ilvl w:val="0"/>
                <w:numId w:val="9"/>
              </w:numPr>
              <w:suppressAutoHyphens/>
              <w:spacing w:after="0" w:line="240" w:lineRule="auto"/>
              <w:ind w:left="353" w:hanging="28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4 x USB w tym 2 x min USB 3.0.,</w:t>
            </w:r>
          </w:p>
          <w:p w:rsidR="009A585E" w:rsidRPr="009A585E" w:rsidRDefault="009A585E" w:rsidP="009A585E">
            <w:pPr>
              <w:suppressAutoHyphens/>
              <w:spacing w:after="0" w:line="240" w:lineRule="auto"/>
              <w:ind w:left="35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Wymagana ilość portów nie może być osiągnięta w wyniku stosowania konwerterów, przejściówek itp.,</w:t>
            </w:r>
          </w:p>
          <w:p w:rsidR="009A585E" w:rsidRPr="009A585E" w:rsidRDefault="009A585E" w:rsidP="009A585E">
            <w:pPr>
              <w:numPr>
                <w:ilvl w:val="0"/>
                <w:numId w:val="9"/>
              </w:numPr>
              <w:suppressAutoHyphens/>
              <w:spacing w:after="0" w:line="240" w:lineRule="auto"/>
              <w:ind w:left="353" w:hanging="28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1 x RJ45 (LAN)</w:t>
            </w:r>
          </w:p>
          <w:p w:rsidR="009A585E" w:rsidRPr="009A585E" w:rsidRDefault="009A585E" w:rsidP="009A585E">
            <w:pPr>
              <w:suppressAutoHyphens/>
              <w:spacing w:after="0" w:line="240" w:lineRule="auto"/>
              <w:ind w:left="35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 xml:space="preserve">Wymagana ilość portów nie może być osiągnięta w wyniku stosowania konwerterów, przejściówek itp., </w:t>
            </w:r>
          </w:p>
          <w:p w:rsidR="009A585E" w:rsidRPr="009A585E" w:rsidRDefault="009A585E" w:rsidP="009A585E">
            <w:pPr>
              <w:numPr>
                <w:ilvl w:val="0"/>
                <w:numId w:val="9"/>
              </w:numPr>
              <w:suppressAutoHyphens/>
              <w:spacing w:after="0" w:line="240" w:lineRule="auto"/>
              <w:ind w:left="353" w:hanging="28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1 x Wyjście wideo DisplayPort lub miniDisplayPort,</w:t>
            </w:r>
          </w:p>
          <w:p w:rsidR="009A585E" w:rsidRPr="009A585E" w:rsidRDefault="009A585E" w:rsidP="009A585E">
            <w:pPr>
              <w:suppressAutoHyphens/>
              <w:spacing w:after="0" w:line="240" w:lineRule="auto"/>
              <w:ind w:left="35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(dopuszcza się wyjście HDMI pod warunkiem dostarczenia przejściówki HDMI do DisplayPort),</w:t>
            </w:r>
          </w:p>
          <w:p w:rsidR="009A585E" w:rsidRPr="009A585E" w:rsidRDefault="009A585E" w:rsidP="009A585E">
            <w:pPr>
              <w:numPr>
                <w:ilvl w:val="0"/>
                <w:numId w:val="9"/>
              </w:numPr>
              <w:suppressAutoHyphens/>
              <w:spacing w:after="0" w:line="240" w:lineRule="auto"/>
              <w:ind w:left="353" w:hanging="28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Wydzielone gniazda mikrofonu i słuchawek</w:t>
            </w: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 xml:space="preserve">, </w:t>
            </w:r>
            <w:r w:rsidRPr="009A585E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pl-PL"/>
              </w:rPr>
              <w:t>w przypadku portu combo należy dostarczyć stosowne przejściówki.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-9"/>
              <w:jc w:val="center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Pamięć operacyjna (RAM)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85E" w:rsidRPr="009A585E" w:rsidRDefault="009A585E" w:rsidP="009A585E">
            <w:pPr>
              <w:spacing w:after="0" w:line="240" w:lineRule="auto"/>
              <w:contextualSpacing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Co najmniej 8 GB z możliwością rozbudowy do min 32GB, jeden slot wolny.</w:t>
            </w:r>
          </w:p>
          <w:p w:rsidR="009A585E" w:rsidRPr="009A585E" w:rsidRDefault="009A585E" w:rsidP="009A585E">
            <w:pPr>
              <w:spacing w:after="0" w:line="240" w:lineRule="auto"/>
              <w:contextualSpacing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Nie dopuszcza się pamięci wlutowanych w płycie głównej.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-9"/>
              <w:jc w:val="center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t>6.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Pamięć masowa (SSD)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 xml:space="preserve">Min. 240 GB SSD </w:t>
            </w:r>
            <w:r w:rsidRPr="009A585E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sv-SE" w:eastAsia="ar-SA"/>
              </w:rPr>
              <w:t>M.2 PCIe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-9"/>
              <w:jc w:val="center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t>7.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Napęd optyczny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 xml:space="preserve">Zintegrowana w obudowie nagrywarka DVD+/- RW </w:t>
            </w:r>
            <w:r w:rsidRPr="009A585E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wraz z dołączonym zewnętrznym (innym niż wbudowany w system operacyjny) oprogramowaniem z interfejsem graficznym w polskojęzycznej wersji  do odtwarzania i nagrywania płyt z pełną i bezterminową licencją.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-9"/>
              <w:jc w:val="center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t>8.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Grafika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Zintegrowana w procesorze z możliwością dynamicznego przydzielenia pamięci systemowej, ze sprzętowym wsparciem dla DirectX 12, Shader 5.0 posiadająca min. 20EU (Graphics Execution Units) oraz Dual HD HW Decode.</w:t>
            </w:r>
          </w:p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Oferowana karta graficzna musi osiągać w teście PassMark Performance Test co najmniej wynik 1000 punktów w G3D Rating.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-9"/>
              <w:jc w:val="center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t>9.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Multimedia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85E" w:rsidRPr="009A585E" w:rsidRDefault="009A585E" w:rsidP="009A585E">
            <w:pPr>
              <w:numPr>
                <w:ilvl w:val="0"/>
                <w:numId w:val="9"/>
              </w:numPr>
              <w:spacing w:after="0" w:line="240" w:lineRule="auto"/>
              <w:ind w:left="353" w:hanging="283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 xml:space="preserve">Dwukanałowa karta dźwiękowa zintegrowana z płytą główną, </w:t>
            </w:r>
          </w:p>
          <w:p w:rsidR="009A585E" w:rsidRPr="009A585E" w:rsidRDefault="009A585E" w:rsidP="009A585E">
            <w:pPr>
              <w:numPr>
                <w:ilvl w:val="0"/>
                <w:numId w:val="9"/>
              </w:numPr>
              <w:spacing w:after="0" w:line="240" w:lineRule="auto"/>
              <w:ind w:left="353" w:hanging="283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Wbudowane głośniki w obudowę urządzenia.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-9"/>
              <w:jc w:val="center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t>10.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Bezpieczeństwo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Zintegrowany z płytą główną dedykowany układ sprzętowy służący do tworzenia i zarządzania wygenerowanymi przez komputer kluczami szyfrowania. Zabezpieczenie to musi posiadać możliwość szyfrowania poufnych dokumentów przechowywanych na dysku twardym przy użyciu klucza sprzętowego.</w:t>
            </w:r>
          </w:p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lastRenderedPageBreak/>
              <w:t>Weryfikacja wygenerowanych przez komputer kluczy szyfrowania musi odbywać się w dedykowanym chipsecie na płycie głównej.</w:t>
            </w:r>
          </w:p>
          <w:p w:rsidR="009A585E" w:rsidRPr="009A585E" w:rsidRDefault="009A585E" w:rsidP="009A585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 xml:space="preserve">Złącze typu Kensington Lock lub rozwiązanie równoważne. </w:t>
            </w: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Poprzez równoważność Zamawiający rozumie możliwość zabezpieczenia urządzenia linką z wykorzystaniem dedykowanego otworu dla zaoferowanego rozwiązania, w który wyposażone jest urządzenie na etapie jego produkcji.</w:t>
            </w: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-9"/>
              <w:jc w:val="center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lastRenderedPageBreak/>
              <w:t>11.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Funkcje BIOS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BIOS zgodny ze specyfikacją UEFI.</w:t>
            </w:r>
          </w:p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Możliwość, bez uruchamiania systemu operacyjnego z dysku twardego komputera lub innych, podłączonych do niego urządzeń zewnętrznych odczytania z BIOS informacji o:</w:t>
            </w:r>
          </w:p>
          <w:p w:rsidR="009A585E" w:rsidRPr="009A585E" w:rsidRDefault="009A585E" w:rsidP="009A585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wersji BIOS,</w:t>
            </w:r>
          </w:p>
          <w:p w:rsidR="009A585E" w:rsidRPr="009A585E" w:rsidRDefault="009A585E" w:rsidP="009A585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nr seryjnego komputera,</w:t>
            </w:r>
          </w:p>
          <w:p w:rsidR="009A585E" w:rsidRPr="009A585E" w:rsidRDefault="009A585E" w:rsidP="009A585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ilości pamięciami RAM,</w:t>
            </w:r>
          </w:p>
          <w:p w:rsidR="009A585E" w:rsidRPr="009A585E" w:rsidRDefault="009A585E" w:rsidP="009A585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typie procesora,</w:t>
            </w:r>
          </w:p>
          <w:p w:rsidR="009A585E" w:rsidRPr="009A585E" w:rsidRDefault="009A585E" w:rsidP="009A585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MAC adresie zintegrowanej karty sieciowej.</w:t>
            </w:r>
          </w:p>
          <w:p w:rsidR="009A585E" w:rsidRPr="009A585E" w:rsidRDefault="009A585E" w:rsidP="009A585E">
            <w:pPr>
              <w:widowControl w:val="0"/>
              <w:spacing w:after="0" w:line="206" w:lineRule="exact"/>
              <w:rPr>
                <w:rFonts w:ascii="Times New Roman" w:eastAsia="Arial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Arial" w:hAnsi="Times New Roman" w:cs="Calibri"/>
                <w:color w:val="000000"/>
                <w:sz w:val="18"/>
                <w:szCs w:val="18"/>
                <w:lang w:eastAsia="pl-PL" w:bidi="pl-PL"/>
              </w:rPr>
              <w:t>Do odczytu wskazanych informacji nie mogą być stosowane rozwiązania oparte o pamięć masową (wewnętrzną lub zewnętrzną), zaimplementowane poza systemem BIOS narzędzia, np. system diagnostyczny, dodatkowe oprogramowanie.</w:t>
            </w:r>
          </w:p>
          <w:p w:rsidR="009A585E" w:rsidRPr="009A585E" w:rsidRDefault="009A585E" w:rsidP="009A585E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Funkcja blokowania/odblokowania BOOT-owania stacji roboczej z zewnętrznych urządzeń.</w:t>
            </w:r>
          </w:p>
          <w:p w:rsidR="009A585E" w:rsidRPr="009A585E" w:rsidRDefault="009A585E" w:rsidP="009A585E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Funkcja blokowania/odblokowania BOOT-owania stacji roboczej z USB</w:t>
            </w:r>
          </w:p>
          <w:p w:rsidR="009A585E" w:rsidRPr="009A585E" w:rsidRDefault="009A585E" w:rsidP="009A585E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Możliwość włączenia/wyłączenia funkcjonalności Wake On LAN – zdalne uruchomienie komputera za pośrednictwem sieci LAN</w:t>
            </w:r>
          </w:p>
          <w:p w:rsidR="009A585E" w:rsidRPr="009A585E" w:rsidRDefault="009A585E" w:rsidP="009A585E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pl-PL"/>
              </w:rPr>
              <w:t xml:space="preserve">Możliwość </w:t>
            </w:r>
            <w:r w:rsidRPr="009A585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 xml:space="preserve">włączenia/wyłączenia hasła </w:t>
            </w:r>
            <w:r w:rsidR="002C7ABE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pl-PL"/>
              </w:rPr>
              <w:t>wejścia do BIOS</w:t>
            </w:r>
          </w:p>
          <w:p w:rsidR="009A585E" w:rsidRPr="009A585E" w:rsidRDefault="009A585E" w:rsidP="009A585E">
            <w:pPr>
              <w:widowControl w:val="0"/>
              <w:tabs>
                <w:tab w:val="left" w:pos="-43"/>
              </w:tabs>
              <w:suppressAutoHyphens/>
              <w:spacing w:after="0" w:line="202" w:lineRule="exact"/>
              <w:ind w:left="356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Wykonawca załączy do oferty instrukcję z opisem krok po kroku włączenia, wyłączenia. skonfigurowania oraz odczytania wymaganych przez Zamawiającego funkcjonalności BIOS. Wydruk musi być podpisany przez Wykonawcę.</w:t>
            </w:r>
          </w:p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</w:p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shd w:val="clear" w:color="auto" w:fill="FFFFFF"/>
                <w:lang w:eastAsia="pl-PL"/>
              </w:rPr>
              <w:t>Zaimplementowany system diagnostyczny z graficznym interfejsem użytkownika umożliwiający jednoczesne przetestowanie w celu wykrycia usterki zainstalowanych komponentów w oferowanym komputerze bez konieczności uruchamiania systemu operacyjnego. System diagnostyczny uruchomiany z poziomu meny szybkiego bootowania. System opatrzony min. o funkcjonalność:</w:t>
            </w:r>
          </w:p>
          <w:p w:rsidR="009A585E" w:rsidRPr="009A585E" w:rsidRDefault="009A585E" w:rsidP="009A585E">
            <w:pPr>
              <w:numPr>
                <w:ilvl w:val="0"/>
                <w:numId w:val="12"/>
              </w:numPr>
              <w:suppressAutoHyphens/>
              <w:spacing w:after="0" w:line="240" w:lineRule="auto"/>
              <w:ind w:left="493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shd w:val="clear" w:color="auto" w:fill="FFFFFF"/>
                <w:lang w:eastAsia="pl-PL"/>
              </w:rPr>
              <w:t>test procesora,</w:t>
            </w:r>
          </w:p>
          <w:p w:rsidR="009A585E" w:rsidRPr="009A585E" w:rsidRDefault="009A585E" w:rsidP="009A585E">
            <w:pPr>
              <w:numPr>
                <w:ilvl w:val="0"/>
                <w:numId w:val="12"/>
              </w:numPr>
              <w:suppressAutoHyphens/>
              <w:spacing w:after="0" w:line="240" w:lineRule="auto"/>
              <w:ind w:left="493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shd w:val="clear" w:color="auto" w:fill="FFFFFF"/>
                <w:lang w:eastAsia="pl-PL"/>
              </w:rPr>
              <w:t>test pamięci,</w:t>
            </w:r>
          </w:p>
          <w:p w:rsidR="009A585E" w:rsidRPr="009A585E" w:rsidRDefault="009A585E" w:rsidP="009A585E">
            <w:pPr>
              <w:numPr>
                <w:ilvl w:val="0"/>
                <w:numId w:val="12"/>
              </w:numPr>
              <w:suppressAutoHyphens/>
              <w:spacing w:after="0" w:line="240" w:lineRule="auto"/>
              <w:ind w:left="493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shd w:val="clear" w:color="auto" w:fill="FFFFFF"/>
                <w:lang w:eastAsia="pl-PL"/>
              </w:rPr>
              <w:t>test portów USB,</w:t>
            </w:r>
          </w:p>
          <w:p w:rsidR="009A585E" w:rsidRPr="009A585E" w:rsidRDefault="009A585E" w:rsidP="009A585E">
            <w:pPr>
              <w:numPr>
                <w:ilvl w:val="0"/>
                <w:numId w:val="12"/>
              </w:numPr>
              <w:suppressAutoHyphens/>
              <w:spacing w:after="0" w:line="240" w:lineRule="auto"/>
              <w:ind w:left="493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shd w:val="clear" w:color="auto" w:fill="FFFFFF"/>
                <w:lang w:eastAsia="pl-PL"/>
              </w:rPr>
              <w:t>test dysku twardego.</w:t>
            </w:r>
          </w:p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</w:p>
          <w:p w:rsidR="009A585E" w:rsidRPr="009A585E" w:rsidRDefault="009A585E" w:rsidP="009A585E">
            <w:pPr>
              <w:spacing w:after="0" w:line="240" w:lineRule="auto"/>
              <w:jc w:val="both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Aktualizacja BIOS za pomocą strony internetowej producenta w oparciu o najnowsze, aktualne wersje BIOS.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-9"/>
              <w:jc w:val="center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t>12.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Zgodność z systemami operacyjnymi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Oferowane modele komputerów muszą poprawnie współpracować z systemem operacyjnym Windows 10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-9"/>
              <w:jc w:val="center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t>13.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System operacyjny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85E" w:rsidRPr="009A585E" w:rsidRDefault="009A585E" w:rsidP="009A585E">
            <w:pPr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Preinstalowany system Windows 10 Professional PL 64bit (</w:t>
            </w: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  <w:t>nie wymagający aktywacji za pomocą telefonu</w:t>
            </w:r>
            <w:r w:rsidR="00A353C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  <w:t>,</w:t>
            </w: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A353C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dopuszcza się możliwość automatycznego połączenia z firmą Microsoft, w sposób niewymagający wykonania dodatkowych czynności przez użytkownika</w:t>
            </w: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  <w:t>)</w:t>
            </w: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 xml:space="preserve"> w celu zapewnienia współpracy z środowiskiem sieciowym oraz aplikacjami funkcjonującymi w sądownictwie powszechnym lub równoważny. </w:t>
            </w:r>
          </w:p>
          <w:p w:rsidR="009A585E" w:rsidRPr="009A585E" w:rsidRDefault="009A585E" w:rsidP="009A585E">
            <w:pPr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Możliwość odzyskania systemu z partycji recovery dysku zainstalowanego w komputerze.</w:t>
            </w:r>
          </w:p>
          <w:p w:rsidR="009A585E" w:rsidRPr="009A585E" w:rsidRDefault="009A585E" w:rsidP="009A585E">
            <w:pPr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</w:p>
          <w:p w:rsidR="009A585E" w:rsidRPr="009A585E" w:rsidRDefault="009A585E" w:rsidP="009A585E">
            <w:pPr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/>
                <w:sz w:val="18"/>
                <w:szCs w:val="18"/>
                <w:lang w:eastAsia="pl-PL"/>
              </w:rPr>
              <w:t>Oprogramowanie funkcjonujące w środowisku Zamawiającego:</w:t>
            </w:r>
          </w:p>
          <w:p w:rsidR="009A585E" w:rsidRPr="009A585E" w:rsidRDefault="009A585E" w:rsidP="009A585E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 xml:space="preserve">Oprogramowanie dla sądownictwa firmy OrCom (http://www.orcom.pl/sadownictwo.php#oferta) </w:t>
            </w:r>
          </w:p>
          <w:p w:rsidR="009A585E" w:rsidRPr="009A585E" w:rsidRDefault="009A585E" w:rsidP="009A585E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Oprogramowanie dla sądownictwa firmy Albit (http://www.albit.eu/)</w:t>
            </w:r>
          </w:p>
          <w:p w:rsidR="009A585E" w:rsidRPr="009A585E" w:rsidRDefault="009A585E" w:rsidP="009A585E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 xml:space="preserve">Oprogramowanie dla sądownictwa firmy Currenda (http://www.currenda.pl/rozwiazania/wymiar-sprawiedliwosci/#rozwiazania) </w:t>
            </w:r>
          </w:p>
          <w:p w:rsidR="009A585E" w:rsidRPr="009A585E" w:rsidRDefault="009A585E" w:rsidP="009A585E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Oprogramowanie dla sądownictwa firmy ZETO Świdnica (http://www.zeto.swidnica.pl/index.php?id=49,0,0,1,0,0)</w:t>
            </w:r>
          </w:p>
          <w:p w:rsidR="009A585E" w:rsidRPr="009A585E" w:rsidRDefault="009A585E" w:rsidP="009A585E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  <w:t xml:space="preserve">Oprogramowanie dla sądownictwa firmy Macrologic </w:t>
            </w:r>
          </w:p>
          <w:p w:rsidR="009A585E" w:rsidRPr="009A585E" w:rsidRDefault="009A585E" w:rsidP="009A585E">
            <w:pPr>
              <w:spacing w:after="0" w:line="240" w:lineRule="auto"/>
              <w:ind w:left="360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  <w:t>(http://www.macrologic.pl/#)</w:t>
            </w:r>
          </w:p>
          <w:p w:rsidR="009A585E" w:rsidRPr="009A585E" w:rsidRDefault="009A585E" w:rsidP="009A585E">
            <w:pPr>
              <w:spacing w:after="0" w:line="240" w:lineRule="auto"/>
              <w:ind w:left="360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</w:pPr>
          </w:p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/>
                <w:sz w:val="18"/>
                <w:szCs w:val="18"/>
                <w:lang w:eastAsia="pl-PL"/>
              </w:rPr>
              <w:lastRenderedPageBreak/>
              <w:t>Ważna uwaga:</w:t>
            </w: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 xml:space="preserve"> Zamawiający nie dopuszcza stosowania emulatorów ani środowisk wirtualnych do uruchomienia wymienionego wyżej oprogramowania.</w:t>
            </w:r>
          </w:p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</w:p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b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/>
                <w:sz w:val="18"/>
                <w:szCs w:val="18"/>
                <w:lang w:eastAsia="pl-PL"/>
              </w:rPr>
              <w:t>Cechy równoważności i funkcjonalności oprogramowania systemowego:</w:t>
            </w:r>
          </w:p>
          <w:p w:rsidR="009A585E" w:rsidRPr="009A585E" w:rsidRDefault="009A585E" w:rsidP="009A585E">
            <w:pPr>
              <w:suppressAutoHyphens/>
              <w:autoSpaceDE w:val="0"/>
              <w:spacing w:line="252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System operacyjny klasy PC w wersji 64-bitowej musi spełniać następujące wymagania poprzez natywne dla niego mechanizmy, bez użycia dodatkowych aplikacji (bez jakichkolwiek emulatorów, implementacji lub programów towarzyszących):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Możliwość dokonywania aktualizacji i poprawek systemu przez Internet z możliwością wyboru instalowanych poprawek.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Możliwość dokonywania uaktualnień sterowników urządzeń przez Internet – witrynę Producenta systemu.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Darmowe aktualizacje w ramach wersji systemu operacyjnego przez Internet (niezbędne aktualizacje, poprawki, biuletyny bezpieczeństwa muszą być dostarczane bez dodatkowych opłat) – wymagane podanie nazwy strony serwera WWW.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Internetowa aktualizacja zapewniona w języku polskim.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Wbudowana zapora internetowa (firewall) dla ochrony połączeń internetowych; zintegrowana z systemem konsola do zarządzania ustawieniami zapory i regułami IP v4 i v6.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Zlokalizowane w języku polskim, co najmniej następujące elementy: menu, odtwarzacz multimediów, pomoc, komunikaty systemowe.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Wsparcie dla większości powszechnie używanych urządzeń peryferyjnych (drukarek, urządzeń sieciowych, standardów USB, Plug&amp;Play, Wi-Fi).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Funkcjonalność automatycznej zmiany domyślnej drukarki w zależności od sieci, do której podłączony jest komputer.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Możliwość zdalnej automatycznej instalacji, konfiguracji, administrowania oraz aktualizowania systemu.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Zabezpieczony hasłem hierarchiczny dostęp do systemu, konta i profile użytkowników zarządzane zdalnie; praca systemu w trybie ochrony kont użytkowników.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Zintegrowany z systemem moduł wyszukiwania informacji (plików różnego typu) dostępny z kilku poziomów: poziom menu, poziom otwartego okna systemu operacyjnego; system wyszukiwania oparty na konfigurowalnym przez użytkownika module indeksacji zasobów lokalnych.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Zintegrowane z systemem operacyjnym narzędzia zwalczające złośliwe oprogramowanie; aktualizacje dostępne u Producenta nieodpłatnie bez ograniczeń czasowych.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Funkcje związane z obsługą komputerów typu TABLET PC, z wbudowanym modułem „uczenia się” pisma użytkownika – obsługa języka polskiego.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Funkcjonalność rozpoznawania mowy, pozwalającą na sterowanie komputerem głosowo, wraz z modułem „uczenia się” głosu użytkownika.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Zintegrowany z systemem operacyjnym moduł synchronizacji komputera z urządzeniami zewnętrznymi.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Wbudowany system pomocy w języku polskim.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Certyfikat (dokument) Producenta oprogramowania potwierdzający poprawność pracy systemu operacyjnego z dostarczanym sprzętem.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Możliwość przystosowania stanowiska dla osób niepełnosprawnych (np. słabo widzących).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Możliwość zarządzania stacją roboczą poprzez polityki – przez politykę rozumiemy zestaw reguł definiujących lub ograniczających funkcjonalność systemu lub aplikacji.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Wdrażanie IPSEC oparte na zestawach reguł definiujących ustawienia zarządzanych w sposób centralny.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Automatyczne występowanie i używanie (wystawianie) certyfikatów PKI X.509.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Wsparcie dla logowania przy pomocy smartcard.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Rozbudowane polityki bezpieczeństwa – polityki dla systemu operacyjnego i dla wskazanych aplikacji.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Narzędzia służące do administracji, do wykonywania kopii zapasowych polityk i ich odtwarzania oraz generowania raportów z ustawień polityk.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Wsparcie dla Sun Java i .NET Framework 1.1 i 2.0 i 3.0 i 4.5 i 4.6 i 4.7 – możliwość uruchomienia aplikacji działających we wskazanych środowiskach.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Wsparcie dla JScript i VBScript – możliwość uruchamiania interpretera poleceń.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lastRenderedPageBreak/>
              <w:t xml:space="preserve">Zdalna pomoc i współdzielenie aplikacji – możliwość zdalnego przejęcia sesji zalogowanego użytkownika celem rozwiązania problemu z komputerem.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Rozwiązanie służące do automatycznego zbudowania obrazu systemu wraz z aplikacjami. Obraz systemu służyć ma do automatycznego upowszechnienia systemu operacyjnego inicjowanego i wykonywanego w całości poprzez sieć komputerową.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Rozwiązanie umożliwiające wdrożenie nowego obrazu poprzez zdalną instalację.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Graficzne środowisko instalacji i konfiguracji.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Transakcyjny system plików pozwalający na stosowanie przydziałów (ang. quota) na dysku dla użytkowników oraz zapewniający większą niezawodność i pozwalający tworzyć kopie zapasowe.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Zarządzanie kontami użytkowników sieci oraz urządzeniami sieciowymi tj. drukarki, modemy, woluminy dyskowe, usługi katalogowe.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Udostępnianie modemu.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Oprogramowanie dla tworzenia kopii zapasowych (Backup); automatyczne wykonywanie kopii plików z możliwością automatycznego przywrócenia wersji wcześniejszej.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Możliwość przywracania plików systemowych.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Funkcjonalność </w:t>
            </w: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pozwalająca na identyfikację sieci komputerowych, do których jest system podłączony, zapamiętywanie ustawień i przypisywanie do min. 3 kategorii bezpieczeństwa (z predefiniowanymi odpowiednio do kategorii ustawieniami zapory sieciowej, udostępniania plików itp.). </w:t>
            </w:r>
          </w:p>
          <w:p w:rsidR="009A585E" w:rsidRPr="009A585E" w:rsidRDefault="009A585E" w:rsidP="009A585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Możliwość blokowania lub dopuszczania dowolnych urządzeń peryferyjnych za pomocą polityk grupowych (np. przy użyciu numerów identyfikacyjnych sprzętu). </w:t>
            </w:r>
          </w:p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 xml:space="preserve">Wszystkie wymienione cechy spełnione są przez system Windows 10 Professional PL 64bit. Ponadto, jest on preferowany ze względu na dotychczasowe używanie systemów rodziny Windows, a tym samym: </w:t>
            </w:r>
          </w:p>
          <w:p w:rsidR="009A585E" w:rsidRPr="009A585E" w:rsidRDefault="009A585E" w:rsidP="009A585E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przystosowanie środowiska informatycznego pod ten system (narzędzia sieciowe, stosowane specjalistyczne oprogramowanie),</w:t>
            </w:r>
          </w:p>
          <w:p w:rsidR="009A585E" w:rsidRPr="009A585E" w:rsidRDefault="009A585E" w:rsidP="009A585E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przeszkolenie administratorów systemów i zwykłych użytkowników,</w:t>
            </w:r>
          </w:p>
          <w:p w:rsidR="009A585E" w:rsidRPr="009A585E" w:rsidRDefault="009A585E" w:rsidP="009A585E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opracowanie zasad organizacyjnych (z uwzględnienie systemów niejawnych). </w:t>
            </w:r>
          </w:p>
          <w:p w:rsidR="009A585E" w:rsidRPr="009A585E" w:rsidRDefault="009A585E" w:rsidP="009A585E">
            <w:pPr>
              <w:spacing w:after="0" w:line="240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Jeżeli oferent zaproponuje inne rozwiązanie niż Windows 10 Professional PL 64bit  zgodny z wymienionymi kryteriami równoważności musi zapewnić pełne wdrożenie oferowanego rozwiązania, jest zobowiązany do pokrycia wszelkich możliwych kosztów, wymaganych w czasie wdrożenia oferowanego rozwiązania, w szczególności związanych z dostosowaniem infrastruktury informatycznej, oprogramowania nią zarządzającego, systemowego i narzędziowego (licencje, wdrożenie), serwisu gwarancyjnego oraz kosztów certyfikowanych szkoleń dla administratorów i użytkowników oferowanego rozwiązania oraz zapewnić współpracę z używanym obecnie środowiskiem informatycznym.</w:t>
            </w:r>
          </w:p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Wymagane oświadczenie Wykonawcy potwierdzające, iż oferowana licencja systemu operacyjnego pochodzi z legalnego źródła i została zakupiona na terenie Rzeczpospolitej Polskiej.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ind w:left="-9"/>
              <w:jc w:val="center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lastRenderedPageBreak/>
              <w:t>14.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Wyposażenie dodatkowe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85E" w:rsidRPr="009A585E" w:rsidRDefault="009A585E" w:rsidP="009A585E">
            <w:pPr>
              <w:numPr>
                <w:ilvl w:val="3"/>
                <w:numId w:val="13"/>
              </w:numPr>
              <w:suppressAutoHyphens/>
              <w:spacing w:after="0" w:line="252" w:lineRule="auto"/>
              <w:ind w:left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Dedykowany zasilacz sieciowy 230V,</w:t>
            </w:r>
          </w:p>
          <w:p w:rsidR="009A585E" w:rsidRPr="009A585E" w:rsidRDefault="009A585E" w:rsidP="009A585E">
            <w:pPr>
              <w:numPr>
                <w:ilvl w:val="3"/>
                <w:numId w:val="13"/>
              </w:numPr>
              <w:suppressAutoHyphens/>
              <w:spacing w:after="0" w:line="252" w:lineRule="auto"/>
              <w:ind w:left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Mysz optyczna USB z min. dwoma klawiszami i rolką (scroll) w kolorze zbliżonym do koloru obudowy,</w:t>
            </w:r>
          </w:p>
          <w:p w:rsidR="009A585E" w:rsidRPr="009A585E" w:rsidRDefault="009A585E" w:rsidP="009A585E">
            <w:pPr>
              <w:numPr>
                <w:ilvl w:val="3"/>
                <w:numId w:val="13"/>
              </w:numPr>
              <w:suppressAutoHyphens/>
              <w:spacing w:after="0" w:line="252" w:lineRule="auto"/>
              <w:ind w:left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Klawiatura USB z wydzieloną klawiaturą numeryczną w układzie US-QWERTY w kolorze zbliżonym do koloru obudowy,</w:t>
            </w:r>
          </w:p>
          <w:p w:rsidR="009A585E" w:rsidRPr="009A585E" w:rsidRDefault="009A585E" w:rsidP="009A585E">
            <w:pPr>
              <w:numPr>
                <w:ilvl w:val="3"/>
                <w:numId w:val="13"/>
              </w:numPr>
              <w:suppressAutoHyphens/>
              <w:spacing w:after="0" w:line="252" w:lineRule="auto"/>
              <w:ind w:left="355" w:hanging="355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Dołączony fizyczny nośnik (CD/DVD lub pendrive) ze sterownikami.</w:t>
            </w:r>
          </w:p>
          <w:p w:rsidR="009A585E" w:rsidRPr="009A585E" w:rsidRDefault="009A585E" w:rsidP="009A585E">
            <w:pPr>
              <w:numPr>
                <w:ilvl w:val="3"/>
                <w:numId w:val="13"/>
              </w:numPr>
              <w:suppressAutoHyphens/>
              <w:spacing w:after="0" w:line="252" w:lineRule="auto"/>
              <w:ind w:left="355" w:hanging="355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Dołączony fizyczny nośnik (CD/DVD lub pendrive) z systemem operacyjnym zainstalowanym na urządzeniu.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tabs>
                <w:tab w:val="left" w:pos="278"/>
              </w:tabs>
              <w:spacing w:after="0" w:line="240" w:lineRule="auto"/>
              <w:jc w:val="center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t>15.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Warunki gwarancji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85E" w:rsidRPr="009A585E" w:rsidRDefault="009A585E" w:rsidP="009A585E">
            <w:pPr>
              <w:numPr>
                <w:ilvl w:val="0"/>
                <w:numId w:val="14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Minimum 36 miesięcy,</w:t>
            </w:r>
          </w:p>
          <w:p w:rsidR="009A585E" w:rsidRPr="009A585E" w:rsidRDefault="009A585E" w:rsidP="009A585E">
            <w:pPr>
              <w:numPr>
                <w:ilvl w:val="0"/>
                <w:numId w:val="14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Czas reakcji serwisu – do końca następnego dnia roboczego,</w:t>
            </w:r>
          </w:p>
          <w:p w:rsidR="009A585E" w:rsidRPr="009A585E" w:rsidRDefault="009A585E" w:rsidP="009A585E">
            <w:pPr>
              <w:numPr>
                <w:ilvl w:val="0"/>
                <w:numId w:val="14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Usługi serwisowe świadczone w miejscu instalacji urządzenia oraz możliwość szybkiego zgłaszania usterek przez portal internetowy, telefon lub mail,</w:t>
            </w:r>
          </w:p>
          <w:p w:rsidR="009A585E" w:rsidRPr="009A585E" w:rsidRDefault="009A585E" w:rsidP="009A585E">
            <w:pPr>
              <w:numPr>
                <w:ilvl w:val="0"/>
                <w:numId w:val="14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Dostępność wsparcia technicznego przez 8 godzin, 5 dni roboczych (w godz. 8-16) w tygodniu przez cały rok w języku polskim w dni robocze,</w:t>
            </w:r>
          </w:p>
          <w:p w:rsidR="009A585E" w:rsidRPr="009A585E" w:rsidRDefault="009A585E" w:rsidP="009A585E">
            <w:pPr>
              <w:numPr>
                <w:ilvl w:val="0"/>
                <w:numId w:val="14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W przypadku awarii nośników danych pozostają one u zamawiającego,</w:t>
            </w:r>
          </w:p>
          <w:p w:rsidR="009A585E" w:rsidRPr="009A585E" w:rsidRDefault="009A585E" w:rsidP="009A585E">
            <w:pPr>
              <w:numPr>
                <w:ilvl w:val="0"/>
                <w:numId w:val="14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Sprzęt musi być fabrycznie nowy, nie używany. w kartonie, zabezpieczony do transportu i magazynowania.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tabs>
                <w:tab w:val="left" w:pos="284"/>
                <w:tab w:val="left" w:pos="345"/>
              </w:tabs>
              <w:spacing w:after="0" w:line="240" w:lineRule="auto"/>
              <w:ind w:left="284" w:hanging="284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lastRenderedPageBreak/>
              <w:t>16.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Wsparcie techniczne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Ogólnopolska, telefoniczna infolinia/linia techniczna Wykonawcy lub producenta komputera, dostępna w czasie obowiązywania gwarancji na sprzęt i umożliwiająca po podaniu numeru seryjnego urządzenia:</w:t>
            </w:r>
          </w:p>
          <w:p w:rsidR="009A585E" w:rsidRPr="009A585E" w:rsidRDefault="009A585E" w:rsidP="009A585E">
            <w:pPr>
              <w:numPr>
                <w:ilvl w:val="0"/>
                <w:numId w:val="15"/>
              </w:num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weryfikację konfiguracji fabrycznej wraz z wersją fabrycznie dostarczonego oprogramowania (system operacyjny, szczegółowa konfiguracja sprzętowa  - CPU, HDD, pamięć),</w:t>
            </w:r>
          </w:p>
          <w:p w:rsidR="009A585E" w:rsidRPr="009A585E" w:rsidRDefault="009A585E" w:rsidP="009A585E">
            <w:pPr>
              <w:numPr>
                <w:ilvl w:val="0"/>
                <w:numId w:val="15"/>
              </w:num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czasu obowiązywania i typ udzielonej gwarancji. Wykonawca poda numer telefonu.</w:t>
            </w:r>
          </w:p>
          <w:p w:rsidR="009A585E" w:rsidRPr="009A585E" w:rsidRDefault="009A585E" w:rsidP="009A585E">
            <w:pPr>
              <w:spacing w:after="12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 xml:space="preserve">Możliwość aktualizacji i pobrania sterowników do oferowanego modelu komputera w najnowszych certyfikowanych wersjach przy użyciu dedykowanego darmowego oprogramowania producenta lub bezpośrednio z sieci Internet za pośrednictwem strony www Wykonawcy lub producenta komputera po podaniu numeru seryjnego komputera lub modelu komputera. </w:t>
            </w:r>
            <w:r w:rsidRPr="009A585E">
              <w:rPr>
                <w:rFonts w:ascii="Times New Roman" w:eastAsia="Times New Roman" w:hAnsi="Times New Roman" w:cs="Calibri"/>
                <w:snapToGrid w:val="0"/>
                <w:color w:val="000000"/>
                <w:sz w:val="18"/>
                <w:szCs w:val="18"/>
                <w:lang w:eastAsia="pl-PL"/>
              </w:rPr>
              <w:t>Wykonawca poda adres strony oraz sposób realizacji wymagania (opis uzyskania w/w informacji)</w:t>
            </w:r>
          </w:p>
          <w:p w:rsidR="009A585E" w:rsidRPr="009A585E" w:rsidRDefault="009A585E" w:rsidP="009A585E">
            <w:pPr>
              <w:spacing w:after="0" w:line="240" w:lineRule="auto"/>
              <w:jc w:val="both"/>
              <w:rPr>
                <w:rFonts w:ascii="Times New Roman" w:eastAsia="Times New Roman" w:hAnsi="Times New Roman" w:cs="Calibri"/>
                <w:snapToGrid w:val="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Możliwość weryfikacji czasu obowiązywania i reżimu gwarancji bezpośrednio z sieci Internet za pośrednictwem strony www Wykonawcy lub producenta komputera. Wykonawca poda adres strony www.</w:t>
            </w:r>
          </w:p>
        </w:tc>
      </w:tr>
      <w:tr w:rsidR="009A585E" w:rsidRPr="009A585E" w:rsidTr="00325626">
        <w:trPr>
          <w:trHeight w:val="28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tabs>
                <w:tab w:val="left" w:pos="284"/>
                <w:tab w:val="left" w:pos="345"/>
              </w:tabs>
              <w:spacing w:after="0" w:line="240" w:lineRule="auto"/>
              <w:ind w:left="284" w:hanging="294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  <w:t>17.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Certyfikaty i standardy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Oferowane urządzenia muszą być  wyprodukowane przez producenta, u którego wdrożono normę PN-EN ISO 9001:2015 lub równoważną, w zakresie co najmniej produkcji lub projektowania lub rozwoju -  urządzeń lub systemów  lub rozwiązań informatycznych (producent posiada certyfikat ISO 9001:2015 lub równoważny).</w:t>
            </w:r>
          </w:p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Oferowane urządzenia muszą być  wyprodukowane przez producenta, u którego wdrożono normę PN-EN ISO 14001 lub równoważną, w zakresie co najmniej produkcji lub projektowania lub rozwoju -  urządzeń lub systemów  lub rozwiązań informatycznych (producent posiada certyfikat ISO 14001 lub równoważny).</w:t>
            </w:r>
          </w:p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Oferowane urządzenie posiadają deklarację zgodności CE</w:t>
            </w:r>
          </w:p>
          <w:p w:rsidR="009A585E" w:rsidRPr="009A585E" w:rsidRDefault="009A585E" w:rsidP="009A585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Wymagane dokumenty:</w:t>
            </w:r>
          </w:p>
          <w:p w:rsidR="009A585E" w:rsidRPr="009A585E" w:rsidRDefault="009A585E" w:rsidP="009A585E">
            <w:pPr>
              <w:numPr>
                <w:ilvl w:val="0"/>
                <w:numId w:val="16"/>
              </w:numPr>
              <w:spacing w:after="0" w:line="240" w:lineRule="auto"/>
              <w:ind w:left="353"/>
              <w:rPr>
                <w:rFonts w:ascii="Times New Roman" w:eastAsia="Times New Roman" w:hAnsi="Times New Roman" w:cs="Calibri"/>
                <w:sz w:val="18"/>
                <w:szCs w:val="18"/>
                <w:lang w:val="en-US"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val="en-US" w:eastAsia="pl-PL"/>
              </w:rPr>
              <w:t>dot. PassMark Average CPU Mark,</w:t>
            </w:r>
          </w:p>
          <w:p w:rsidR="009A585E" w:rsidRPr="009A585E" w:rsidRDefault="009A585E" w:rsidP="009A585E">
            <w:pPr>
              <w:numPr>
                <w:ilvl w:val="0"/>
                <w:numId w:val="16"/>
              </w:numPr>
              <w:spacing w:after="0" w:line="240" w:lineRule="auto"/>
              <w:ind w:left="353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dot. Normy PN-EN  ISO 9001:2015 lub równoważnej dla producenta,</w:t>
            </w:r>
          </w:p>
          <w:p w:rsidR="009A585E" w:rsidRPr="009A585E" w:rsidRDefault="009A585E" w:rsidP="009A585E">
            <w:pPr>
              <w:numPr>
                <w:ilvl w:val="0"/>
                <w:numId w:val="16"/>
              </w:numPr>
              <w:spacing w:after="0" w:line="240" w:lineRule="auto"/>
              <w:ind w:left="353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dot. Normy PN-EN  ISO 14001 lub równoważnej  dla producenta,</w:t>
            </w:r>
          </w:p>
          <w:p w:rsidR="009A585E" w:rsidRPr="009A585E" w:rsidRDefault="009A585E" w:rsidP="009A585E">
            <w:pPr>
              <w:numPr>
                <w:ilvl w:val="0"/>
                <w:numId w:val="16"/>
              </w:numPr>
              <w:spacing w:after="0" w:line="240" w:lineRule="auto"/>
              <w:ind w:left="353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dot. deklaracji zgodności CE,</w:t>
            </w:r>
          </w:p>
          <w:p w:rsidR="009A585E" w:rsidRPr="009A585E" w:rsidRDefault="009A585E" w:rsidP="009A585E">
            <w:pPr>
              <w:numPr>
                <w:ilvl w:val="0"/>
                <w:numId w:val="16"/>
              </w:numPr>
              <w:spacing w:after="0" w:line="240" w:lineRule="auto"/>
              <w:ind w:left="353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dot. zgodności z dyrektywą ROHS UE – dopuszcza się wydruk ze strony lub potwierdzenie przez producenta lub Wykonawcę poprzez oświadczenie,</w:t>
            </w:r>
          </w:p>
          <w:p w:rsidR="009A585E" w:rsidRPr="009A585E" w:rsidRDefault="009A585E" w:rsidP="009A585E">
            <w:pPr>
              <w:numPr>
                <w:ilvl w:val="0"/>
                <w:numId w:val="16"/>
              </w:numPr>
              <w:spacing w:after="0" w:line="240" w:lineRule="auto"/>
              <w:ind w:left="353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Dokument  poświadczający  poprawną  współpracę  oferowanego  modelu  urządzenia  z  systemem operacyjnym Windows  10 (dopuszcza się wydruk lub „zrzut ekranu” ze strony internetowej Microsoft WHCL lub oświadczenie producenta urządzenia),</w:t>
            </w:r>
          </w:p>
          <w:p w:rsidR="009A585E" w:rsidRPr="009A585E" w:rsidRDefault="009A585E" w:rsidP="009A585E">
            <w:pPr>
              <w:numPr>
                <w:ilvl w:val="0"/>
                <w:numId w:val="16"/>
              </w:numPr>
              <w:spacing w:after="0" w:line="240" w:lineRule="auto"/>
              <w:ind w:left="353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Dokument, z którego będą wynikały wszystkie parametry oferowanego urządzenia wskazane w Opisie przedmiotu zamówienia: karta katalogowa urządzenia lub oświadczenie producenta lub oświadczenie autoryzowanego przedstawiciela producenta.</w:t>
            </w:r>
          </w:p>
          <w:p w:rsidR="009A585E" w:rsidRPr="009A585E" w:rsidRDefault="009A585E" w:rsidP="009A585E">
            <w:pPr>
              <w:numPr>
                <w:ilvl w:val="0"/>
                <w:numId w:val="16"/>
              </w:numPr>
              <w:spacing w:after="0" w:line="240" w:lineRule="auto"/>
              <w:ind w:left="35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Oświadczenie o pozostawieniu nośnika danych u Zamawiającego na  wypadek awarii nośnika danych.</w:t>
            </w:r>
          </w:p>
          <w:p w:rsidR="009A585E" w:rsidRPr="009A585E" w:rsidRDefault="009A585E" w:rsidP="009A585E">
            <w:pPr>
              <w:numPr>
                <w:ilvl w:val="0"/>
                <w:numId w:val="16"/>
              </w:numPr>
              <w:spacing w:after="0" w:line="240" w:lineRule="auto"/>
              <w:ind w:left="353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Oświadczenie Wykonawcy potwierdzające, iż oferowana licencja systemu operacyjnego pochodzi z legalnego źródła i została zakupiona na terenie Rzeczpospolitej Polskiej.</w:t>
            </w:r>
          </w:p>
          <w:p w:rsidR="009A585E" w:rsidRPr="009A585E" w:rsidRDefault="009A585E" w:rsidP="009A585E">
            <w:pPr>
              <w:numPr>
                <w:ilvl w:val="0"/>
                <w:numId w:val="16"/>
              </w:numPr>
              <w:spacing w:after="0" w:line="240" w:lineRule="auto"/>
              <w:ind w:left="35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A585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Instrukcja krok po kroku włączenia, wyłączenia. skonfigurowania oraz odczytania wymaganych przez Zamawiającego funkcjonalności BIOS.</w:t>
            </w:r>
          </w:p>
        </w:tc>
      </w:tr>
    </w:tbl>
    <w:p w:rsidR="00DC4A72" w:rsidRDefault="00DC4A72"/>
    <w:sectPr w:rsidR="00DC4A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5643" w:rsidRDefault="00D95643" w:rsidP="00507C9B">
      <w:pPr>
        <w:spacing w:after="0" w:line="240" w:lineRule="auto"/>
      </w:pPr>
      <w:r>
        <w:separator/>
      </w:r>
    </w:p>
  </w:endnote>
  <w:endnote w:type="continuationSeparator" w:id="0">
    <w:p w:rsidR="00D95643" w:rsidRDefault="00D95643" w:rsidP="00507C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C9B" w:rsidRDefault="00507C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C9B" w:rsidRDefault="00507C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C9B" w:rsidRDefault="00507C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5643" w:rsidRDefault="00D95643" w:rsidP="00507C9B">
      <w:pPr>
        <w:spacing w:after="0" w:line="240" w:lineRule="auto"/>
      </w:pPr>
      <w:r>
        <w:separator/>
      </w:r>
    </w:p>
  </w:footnote>
  <w:footnote w:type="continuationSeparator" w:id="0">
    <w:p w:rsidR="00D95643" w:rsidRDefault="00D95643" w:rsidP="00507C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C9B" w:rsidRDefault="00507C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C9B" w:rsidRDefault="00507C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C9B" w:rsidRDefault="00507C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A5558"/>
    <w:multiLevelType w:val="hybridMultilevel"/>
    <w:tmpl w:val="B80675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92B03"/>
    <w:multiLevelType w:val="hybridMultilevel"/>
    <w:tmpl w:val="BCF0C3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D51B0"/>
    <w:multiLevelType w:val="multilevel"/>
    <w:tmpl w:val="BE8EDF06"/>
    <w:styleLink w:val="Biecalista1"/>
    <w:lvl w:ilvl="0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</w:lvl>
    <w:lvl w:ilvl="1">
      <w:start w:val="1"/>
      <w:numFmt w:val="lowerLetter"/>
      <w:lvlText w:val="%2."/>
      <w:lvlJc w:val="left"/>
      <w:pPr>
        <w:tabs>
          <w:tab w:val="num" w:pos="3567"/>
        </w:tabs>
        <w:ind w:left="3567" w:hanging="360"/>
      </w:pPr>
    </w:lvl>
    <w:lvl w:ilvl="2">
      <w:start w:val="1"/>
      <w:numFmt w:val="lowerRoman"/>
      <w:lvlText w:val="%3."/>
      <w:lvlJc w:val="right"/>
      <w:pPr>
        <w:tabs>
          <w:tab w:val="num" w:pos="4287"/>
        </w:tabs>
        <w:ind w:left="4287" w:hanging="180"/>
      </w:pPr>
    </w:lvl>
    <w:lvl w:ilvl="3">
      <w:start w:val="1"/>
      <w:numFmt w:val="decimal"/>
      <w:lvlText w:val="%4."/>
      <w:lvlJc w:val="left"/>
      <w:pPr>
        <w:tabs>
          <w:tab w:val="num" w:pos="5007"/>
        </w:tabs>
        <w:ind w:left="5007" w:hanging="360"/>
      </w:pPr>
    </w:lvl>
    <w:lvl w:ilvl="4">
      <w:start w:val="1"/>
      <w:numFmt w:val="lowerLetter"/>
      <w:lvlText w:val="%5."/>
      <w:lvlJc w:val="left"/>
      <w:pPr>
        <w:tabs>
          <w:tab w:val="num" w:pos="5727"/>
        </w:tabs>
        <w:ind w:left="5727" w:hanging="360"/>
      </w:pPr>
    </w:lvl>
    <w:lvl w:ilvl="5">
      <w:start w:val="1"/>
      <w:numFmt w:val="lowerRoman"/>
      <w:lvlText w:val="%6."/>
      <w:lvlJc w:val="right"/>
      <w:pPr>
        <w:tabs>
          <w:tab w:val="num" w:pos="6447"/>
        </w:tabs>
        <w:ind w:left="6447" w:hanging="180"/>
      </w:pPr>
    </w:lvl>
    <w:lvl w:ilvl="6">
      <w:start w:val="1"/>
      <w:numFmt w:val="decimal"/>
      <w:lvlText w:val="%7."/>
      <w:lvlJc w:val="left"/>
      <w:pPr>
        <w:tabs>
          <w:tab w:val="num" w:pos="7167"/>
        </w:tabs>
        <w:ind w:left="7167" w:hanging="360"/>
      </w:pPr>
    </w:lvl>
    <w:lvl w:ilvl="7">
      <w:start w:val="1"/>
      <w:numFmt w:val="lowerLetter"/>
      <w:lvlText w:val="%8."/>
      <w:lvlJc w:val="left"/>
      <w:pPr>
        <w:tabs>
          <w:tab w:val="num" w:pos="7887"/>
        </w:tabs>
        <w:ind w:left="7887" w:hanging="360"/>
      </w:pPr>
    </w:lvl>
    <w:lvl w:ilvl="8">
      <w:start w:val="1"/>
      <w:numFmt w:val="lowerRoman"/>
      <w:lvlText w:val="%9."/>
      <w:lvlJc w:val="right"/>
      <w:pPr>
        <w:tabs>
          <w:tab w:val="num" w:pos="8607"/>
        </w:tabs>
        <w:ind w:left="8607" w:hanging="180"/>
      </w:pPr>
    </w:lvl>
  </w:abstractNum>
  <w:abstractNum w:abstractNumId="3" w15:restartNumberingAfterBreak="0">
    <w:nsid w:val="23ED771B"/>
    <w:multiLevelType w:val="hybridMultilevel"/>
    <w:tmpl w:val="0D966FD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0997FDB"/>
    <w:multiLevelType w:val="hybridMultilevel"/>
    <w:tmpl w:val="7610D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C849D2"/>
    <w:multiLevelType w:val="hybridMultilevel"/>
    <w:tmpl w:val="9D125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4409B"/>
    <w:multiLevelType w:val="hybridMultilevel"/>
    <w:tmpl w:val="C3CAC3CC"/>
    <w:lvl w:ilvl="0" w:tplc="25BAC9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4C0542"/>
    <w:multiLevelType w:val="hybridMultilevel"/>
    <w:tmpl w:val="EA6A70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C2282D"/>
    <w:multiLevelType w:val="hybridMultilevel"/>
    <w:tmpl w:val="71AAEFE0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9" w15:restartNumberingAfterBreak="0">
    <w:nsid w:val="57F8159D"/>
    <w:multiLevelType w:val="hybridMultilevel"/>
    <w:tmpl w:val="C90A32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35766C"/>
    <w:multiLevelType w:val="hybridMultilevel"/>
    <w:tmpl w:val="C266480E"/>
    <w:lvl w:ilvl="0" w:tplc="AC76A6B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5CCB26DF"/>
    <w:multiLevelType w:val="hybridMultilevel"/>
    <w:tmpl w:val="FB92D55E"/>
    <w:lvl w:ilvl="0" w:tplc="0415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12" w15:restartNumberingAfterBreak="0">
    <w:nsid w:val="686D6CD6"/>
    <w:multiLevelType w:val="hybridMultilevel"/>
    <w:tmpl w:val="3508BEA2"/>
    <w:lvl w:ilvl="0" w:tplc="D6EEDF76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7B67FD"/>
    <w:multiLevelType w:val="multilevel"/>
    <w:tmpl w:val="981E1DCE"/>
    <w:lvl w:ilvl="0">
      <w:start w:val="1"/>
      <w:numFmt w:val="none"/>
      <w:pStyle w:val="Stylwylicz11pt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upperRoman"/>
      <w:pStyle w:val="NagwkiSIWZ"/>
      <w:lvlText w:val="%1%2"/>
      <w:lvlJc w:val="left"/>
      <w:pPr>
        <w:tabs>
          <w:tab w:val="num" w:pos="284"/>
        </w:tabs>
        <w:ind w:left="576" w:hanging="576"/>
      </w:pPr>
      <w:rPr>
        <w:rFonts w:hint="default"/>
      </w:rPr>
    </w:lvl>
    <w:lvl w:ilvl="2">
      <w:start w:val="1"/>
      <w:numFmt w:val="decimal"/>
      <w:lvlText w:val="%1%3."/>
      <w:lvlJc w:val="left"/>
      <w:pPr>
        <w:tabs>
          <w:tab w:val="num" w:pos="567"/>
        </w:tabs>
        <w:ind w:left="720" w:hanging="720"/>
      </w:pPr>
      <w:rPr>
        <w:rFonts w:hint="default"/>
      </w:rPr>
    </w:lvl>
    <w:lvl w:ilvl="3">
      <w:start w:val="1"/>
      <w:numFmt w:val="decimal"/>
      <w:pStyle w:val="Tabela-Siatka"/>
      <w:lvlText w:val="%1%4)"/>
      <w:lvlJc w:val="left"/>
      <w:pPr>
        <w:tabs>
          <w:tab w:val="num" w:pos="1404"/>
        </w:tabs>
        <w:ind w:left="1404" w:hanging="864"/>
      </w:pPr>
      <w:rPr>
        <w:rFonts w:hint="default"/>
        <w:b w:val="0"/>
      </w:rPr>
    </w:lvl>
    <w:lvl w:ilvl="4">
      <w:start w:val="1"/>
      <w:numFmt w:val="lowerLetter"/>
      <w:pStyle w:val="opispunkt"/>
      <w:lvlText w:val="%1%5)"/>
      <w:lvlJc w:val="left"/>
      <w:pPr>
        <w:tabs>
          <w:tab w:val="num" w:pos="2710"/>
        </w:tabs>
        <w:ind w:left="2710" w:hanging="1008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bullet"/>
      <w:lvlText w:val=""/>
      <w:lvlJc w:val="left"/>
      <w:pPr>
        <w:tabs>
          <w:tab w:val="num" w:pos="1152"/>
        </w:tabs>
        <w:ind w:left="1152" w:hanging="1152"/>
      </w:pPr>
      <w:rPr>
        <w:rFonts w:ascii="Symbol" w:hAnsi="Symbol" w:hint="default"/>
        <w:color w:val="auto"/>
      </w:rPr>
    </w:lvl>
    <w:lvl w:ilvl="6">
      <w:start w:val="1"/>
      <w:numFmt w:val="none"/>
      <w:lvlText w:val="%7%1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none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%1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 w15:restartNumberingAfterBreak="0">
    <w:nsid w:val="6D37334D"/>
    <w:multiLevelType w:val="hybridMultilevel"/>
    <w:tmpl w:val="4CE449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F974FF9"/>
    <w:multiLevelType w:val="hybridMultilevel"/>
    <w:tmpl w:val="7EFADA7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556F8C"/>
    <w:multiLevelType w:val="multilevel"/>
    <w:tmpl w:val="53182CF6"/>
    <w:lvl w:ilvl="0">
      <w:start w:val="1"/>
      <w:numFmt w:val="upperRoman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ascii="Times New Roman" w:eastAsia="SimSun" w:hAnsi="Times New Roman" w:cs="Times New Roman"/>
        <w:b w:val="0"/>
      </w:rPr>
    </w:lvl>
    <w:lvl w:ilvl="3">
      <w:start w:val="1"/>
      <w:numFmt w:val="decimal"/>
      <w:lvlText w:val="%4)"/>
      <w:lvlJc w:val="left"/>
      <w:pPr>
        <w:tabs>
          <w:tab w:val="num" w:pos="1797"/>
        </w:tabs>
        <w:ind w:left="1797" w:hanging="360"/>
      </w:pPr>
      <w:rPr>
        <w:rFonts w:ascii="Times New Roman" w:eastAsia="SimSun" w:hAnsi="Times New Roman" w:cs="Times New Roman" w:hint="default"/>
      </w:rPr>
    </w:lvl>
    <w:lvl w:ilvl="4">
      <w:start w:val="1"/>
      <w:numFmt w:val="lowerLetter"/>
      <w:lvlText w:val="%5)"/>
      <w:lvlJc w:val="left"/>
      <w:pPr>
        <w:tabs>
          <w:tab w:val="num" w:pos="2157"/>
        </w:tabs>
        <w:ind w:left="2157" w:hanging="360"/>
      </w:pPr>
      <w:rPr>
        <w:rFonts w:ascii="Times New Roman" w:eastAsia="SimSun" w:hAnsi="Times New Roman" w:cs="Times New Roman" w:hint="default"/>
        <w:strike w:val="0"/>
      </w:rPr>
    </w:lvl>
    <w:lvl w:ilvl="5">
      <w:start w:val="1"/>
      <w:numFmt w:val="lowerRoman"/>
      <w:lvlText w:val="(%6)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6"/>
  </w:num>
  <w:num w:numId="4">
    <w:abstractNumId w:val="13"/>
  </w:num>
  <w:num w:numId="5">
    <w:abstractNumId w:val="5"/>
  </w:num>
  <w:num w:numId="6">
    <w:abstractNumId w:val="0"/>
  </w:num>
  <w:num w:numId="7">
    <w:abstractNumId w:val="11"/>
  </w:num>
  <w:num w:numId="8">
    <w:abstractNumId w:val="1"/>
  </w:num>
  <w:num w:numId="9">
    <w:abstractNumId w:val="14"/>
  </w:num>
  <w:num w:numId="10">
    <w:abstractNumId w:val="4"/>
  </w:num>
  <w:num w:numId="11">
    <w:abstractNumId w:val="15"/>
  </w:num>
  <w:num w:numId="12">
    <w:abstractNumId w:val="6"/>
  </w:num>
  <w:num w:numId="13">
    <w:abstractNumId w:val="10"/>
  </w:num>
  <w:num w:numId="14">
    <w:abstractNumId w:val="7"/>
  </w:num>
  <w:num w:numId="15">
    <w:abstractNumId w:val="9"/>
  </w:num>
  <w:num w:numId="16">
    <w:abstractNumId w:val="12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85E"/>
    <w:rsid w:val="002C7ABE"/>
    <w:rsid w:val="00507C9B"/>
    <w:rsid w:val="009A585E"/>
    <w:rsid w:val="00A353CE"/>
    <w:rsid w:val="00AD0FCA"/>
    <w:rsid w:val="00D95643"/>
    <w:rsid w:val="00DC4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A58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kiSIWZ">
    <w:name w:val="Nagłówki SIWZ"/>
    <w:basedOn w:val="Nagwek1"/>
    <w:next w:val="Normalny"/>
    <w:autoRedefine/>
    <w:qFormat/>
    <w:rsid w:val="009A585E"/>
    <w:pPr>
      <w:keepLines w:val="0"/>
      <w:numPr>
        <w:ilvl w:val="1"/>
        <w:numId w:val="4"/>
      </w:numPr>
      <w:tabs>
        <w:tab w:val="clear" w:pos="284"/>
        <w:tab w:val="num" w:pos="360"/>
        <w:tab w:val="left" w:pos="960"/>
        <w:tab w:val="num" w:pos="993"/>
      </w:tabs>
      <w:autoSpaceDE w:val="0"/>
      <w:autoSpaceDN w:val="0"/>
      <w:adjustRightInd w:val="0"/>
      <w:spacing w:before="120" w:after="120" w:line="240" w:lineRule="auto"/>
      <w:ind w:left="993" w:hanging="636"/>
      <w:jc w:val="both"/>
    </w:pPr>
    <w:rPr>
      <w:rFonts w:ascii="Times New Roman" w:eastAsia="Times New Roman" w:hAnsi="Times New Roman" w:cs="Times New Roman"/>
      <w:b w:val="0"/>
      <w:color w:val="auto"/>
      <w:kern w:val="32"/>
      <w:sz w:val="24"/>
      <w:szCs w:val="20"/>
      <w:lang w:eastAsia="pl-PL"/>
    </w:rPr>
  </w:style>
  <w:style w:type="character" w:styleId="Hipercze">
    <w:name w:val="Hyperlink"/>
    <w:rsid w:val="009A585E"/>
    <w:rPr>
      <w:color w:val="0000FF"/>
      <w:u w:val="single"/>
    </w:rPr>
  </w:style>
  <w:style w:type="table" w:styleId="Tabela-Siatka">
    <w:name w:val="Table Grid"/>
    <w:basedOn w:val="Standardowy"/>
    <w:rsid w:val="009A585E"/>
    <w:pPr>
      <w:numPr>
        <w:ilvl w:val="3"/>
        <w:numId w:val="4"/>
      </w:numPr>
      <w:tabs>
        <w:tab w:val="clear" w:pos="1404"/>
      </w:tabs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ispunkt">
    <w:name w:val="opis_punkt"/>
    <w:basedOn w:val="Normalny"/>
    <w:autoRedefine/>
    <w:rsid w:val="009A585E"/>
    <w:pPr>
      <w:widowControl w:val="0"/>
      <w:numPr>
        <w:ilvl w:val="4"/>
        <w:numId w:val="4"/>
      </w:numPr>
      <w:tabs>
        <w:tab w:val="clear" w:pos="2710"/>
        <w:tab w:val="num" w:pos="360"/>
      </w:tabs>
      <w:autoSpaceDE w:val="0"/>
      <w:autoSpaceDN w:val="0"/>
      <w:adjustRightInd w:val="0"/>
      <w:spacing w:after="0" w:line="240" w:lineRule="auto"/>
      <w:ind w:left="360" w:hanging="360"/>
      <w:jc w:val="both"/>
    </w:pPr>
    <w:rPr>
      <w:rFonts w:ascii="Times New Roman" w:eastAsia="SimSun" w:hAnsi="Times New Roman" w:cs="Times New Roman"/>
      <w:sz w:val="24"/>
      <w:szCs w:val="24"/>
      <w:lang w:eastAsia="pl-PL"/>
    </w:rPr>
  </w:style>
  <w:style w:type="numbering" w:customStyle="1" w:styleId="Biecalista1">
    <w:name w:val="Bieżąca lista1"/>
    <w:rsid w:val="009A585E"/>
    <w:pPr>
      <w:numPr>
        <w:numId w:val="2"/>
      </w:numPr>
    </w:pPr>
  </w:style>
  <w:style w:type="paragraph" w:customStyle="1" w:styleId="Stylwylicz11pt">
    <w:name w:val="Styl wylicz + 11 pt"/>
    <w:basedOn w:val="Normalny"/>
    <w:autoRedefine/>
    <w:rsid w:val="009A585E"/>
    <w:pPr>
      <w:widowControl w:val="0"/>
      <w:numPr>
        <w:numId w:val="4"/>
      </w:numPr>
      <w:tabs>
        <w:tab w:val="clear" w:pos="432"/>
        <w:tab w:val="num" w:pos="1353"/>
      </w:tabs>
      <w:autoSpaceDE w:val="0"/>
      <w:autoSpaceDN w:val="0"/>
      <w:adjustRightInd w:val="0"/>
      <w:spacing w:after="0" w:line="240" w:lineRule="auto"/>
      <w:ind w:left="360" w:hanging="360"/>
      <w:jc w:val="both"/>
    </w:pPr>
    <w:rPr>
      <w:rFonts w:ascii="Times New Roman" w:eastAsia="SimSun" w:hAnsi="Times New Roman" w:cs="Times New Roman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uiPriority w:val="9"/>
    <w:rsid w:val="009A58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507C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7C9B"/>
  </w:style>
  <w:style w:type="paragraph" w:styleId="Stopka">
    <w:name w:val="footer"/>
    <w:basedOn w:val="Normalny"/>
    <w:link w:val="StopkaZnak"/>
    <w:uiPriority w:val="99"/>
    <w:unhideWhenUsed/>
    <w:rsid w:val="00507C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7C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2381</Words>
  <Characters>14286</Characters>
  <Application>Microsoft Office Word</Application>
  <DocSecurity>0</DocSecurity>
  <Lines>119</Lines>
  <Paragraphs>33</Paragraphs>
  <ScaleCrop>false</ScaleCrop>
  <Company/>
  <LinksUpToDate>false</LinksUpToDate>
  <CharactersWithSpaces>16634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2020-07-15T08:10:00Z</dcterms:created>
  <dcterms:modified xsi:type="dcterms:W3CDTF">2020-07-15T08:10:00Z</dcterms:modified>
</cp:coreProperties>
</file>