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CF" w:rsidRDefault="00261BCF" w:rsidP="00261BCF">
      <w:pPr>
        <w:jc w:val="right"/>
      </w:pPr>
      <w:bookmarkStart w:id="0" w:name="_GoBack"/>
      <w:bookmarkEnd w:id="0"/>
      <w:r>
        <w:t>Komputer All in One</w:t>
      </w:r>
      <w:r w:rsidRPr="004A2CE5">
        <w:rPr>
          <w:b/>
          <w:i/>
        </w:rPr>
        <w:t xml:space="preserve"> </w:t>
      </w:r>
      <w:r>
        <w:rPr>
          <w:b/>
          <w:i/>
        </w:rPr>
        <w:t xml:space="preserve">                                       </w:t>
      </w:r>
      <w:r w:rsidRPr="004A2CE5">
        <w:rPr>
          <w:b/>
          <w:i/>
        </w:rPr>
        <w:t>Załącznik 2</w:t>
      </w:r>
      <w:r>
        <w:rPr>
          <w:b/>
          <w:i/>
        </w:rPr>
        <w:t>b</w:t>
      </w:r>
      <w:r>
        <w:rPr>
          <w:i/>
        </w:rPr>
        <w:t xml:space="preserve"> </w:t>
      </w:r>
      <w:r w:rsidRPr="004A2CE5">
        <w:rPr>
          <w:i/>
        </w:rPr>
        <w:t xml:space="preserve"> należy złożyć </w:t>
      </w:r>
      <w:r>
        <w:rPr>
          <w:i/>
        </w:rPr>
        <w:t xml:space="preserve">z ofertą </w:t>
      </w:r>
      <w:r w:rsidRPr="004A2CE5">
        <w:rPr>
          <w:i/>
        </w:rPr>
        <w:t>do części I</w:t>
      </w:r>
      <w:r>
        <w:rPr>
          <w:i/>
        </w:rPr>
        <w:t>I</w:t>
      </w:r>
    </w:p>
    <w:tbl>
      <w:tblPr>
        <w:tblW w:w="5023" w:type="pct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380"/>
        <w:gridCol w:w="1538"/>
        <w:gridCol w:w="6148"/>
        <w:gridCol w:w="6145"/>
      </w:tblGrid>
      <w:tr w:rsidR="00261BCF" w:rsidRPr="002613CA" w:rsidTr="00325626">
        <w:trPr>
          <w:trHeight w:val="284"/>
          <w:tblHeader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261BCF" w:rsidRPr="00984AD9" w:rsidRDefault="00261BCF" w:rsidP="00325626">
            <w:pPr>
              <w:ind w:left="113" w:hanging="113"/>
              <w:jc w:val="center"/>
              <w:rPr>
                <w:rFonts w:cs="Calibri"/>
                <w:b/>
              </w:rPr>
            </w:pPr>
            <w:r w:rsidRPr="00984AD9">
              <w:rPr>
                <w:rFonts w:cs="Calibri"/>
                <w:b/>
              </w:rPr>
              <w:t>Lp.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261BCF" w:rsidRPr="00984AD9" w:rsidRDefault="00261BCF" w:rsidP="00325626">
            <w:pPr>
              <w:ind w:left="113" w:hanging="113"/>
              <w:jc w:val="center"/>
              <w:rPr>
                <w:rFonts w:cs="Calibri"/>
                <w:b/>
              </w:rPr>
            </w:pPr>
            <w:r w:rsidRPr="00984AD9">
              <w:rPr>
                <w:rFonts w:cs="Calibri"/>
                <w:b/>
              </w:rPr>
              <w:t>Nazwa komponentu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261BCF" w:rsidRPr="00984AD9" w:rsidRDefault="00261BCF" w:rsidP="00325626">
            <w:pPr>
              <w:jc w:val="center"/>
              <w:rPr>
                <w:rFonts w:cs="Calibri"/>
                <w:b/>
              </w:rPr>
            </w:pPr>
            <w:r w:rsidRPr="00984AD9">
              <w:rPr>
                <w:rFonts w:cs="Calibri"/>
                <w:b/>
              </w:rPr>
              <w:t>Wymagane minimalne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261BCF" w:rsidRPr="00014E72" w:rsidRDefault="00261BCF" w:rsidP="00325626">
            <w:pPr>
              <w:suppressAutoHyphens/>
              <w:spacing w:line="252" w:lineRule="auto"/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</w:pPr>
            <w:r w:rsidRPr="00014E72"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  <w:t>Parametry techniczne oferowanego urządzenia</w:t>
            </w:r>
          </w:p>
          <w:p w:rsidR="00261BCF" w:rsidRPr="00984AD9" w:rsidRDefault="00261BCF" w:rsidP="00325626">
            <w:pPr>
              <w:jc w:val="center"/>
              <w:rPr>
                <w:rFonts w:cs="Calibri"/>
                <w:b/>
              </w:rPr>
            </w:pPr>
            <w:r w:rsidRPr="00014E72"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  <w:t>(wypełnia Wykonawca w formie opisu jak w kolumnie 3)</w:t>
            </w:r>
          </w:p>
        </w:tc>
      </w:tr>
      <w:tr w:rsidR="00261BCF" w:rsidRPr="002613CA" w:rsidTr="00325626">
        <w:trPr>
          <w:trHeight w:val="284"/>
          <w:tblHeader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261BCF" w:rsidRPr="00984AD9" w:rsidRDefault="00261BCF" w:rsidP="00325626">
            <w:pPr>
              <w:ind w:left="113" w:hanging="113"/>
              <w:jc w:val="center"/>
              <w:rPr>
                <w:rFonts w:cs="Calibri"/>
                <w:b/>
                <w:sz w:val="18"/>
                <w:szCs w:val="18"/>
              </w:rPr>
            </w:pPr>
            <w:r w:rsidRPr="00984AD9"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261BCF" w:rsidRPr="00984AD9" w:rsidRDefault="00261BCF" w:rsidP="00325626">
            <w:pPr>
              <w:ind w:left="113" w:hanging="113"/>
              <w:jc w:val="center"/>
              <w:rPr>
                <w:rFonts w:cs="Calibri"/>
                <w:b/>
                <w:sz w:val="18"/>
                <w:szCs w:val="18"/>
              </w:rPr>
            </w:pPr>
            <w:r w:rsidRPr="00984AD9">
              <w:rPr>
                <w:rFonts w:cs="Calibri"/>
                <w:b/>
                <w:sz w:val="18"/>
                <w:szCs w:val="18"/>
              </w:rPr>
              <w:t>2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261BCF" w:rsidRPr="00984AD9" w:rsidRDefault="00261BCF" w:rsidP="00325626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84AD9">
              <w:rPr>
                <w:rFonts w:cs="Calibri"/>
                <w:b/>
                <w:sz w:val="18"/>
                <w:szCs w:val="18"/>
              </w:rPr>
              <w:t>3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261BCF" w:rsidRPr="00984AD9" w:rsidRDefault="00261BCF" w:rsidP="00325626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4</w:t>
            </w: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Typ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Komputer ze zintegrowanym monitorem typu All-In-One.</w:t>
            </w:r>
          </w:p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Stopa powinna umożliwiać regulację wysokości oraz kąta nachylenia ekranu (przód/tył).</w:t>
            </w:r>
          </w:p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 ofercie wymagane jest podanie modelu, symbolu oraz producenta.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2.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Zastosowanie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Komputer będzie wykorzystywany dla potrzeb aplikacji biurowych, aplikacji edukacyjnych, aplikacji obliczeniowych, aplikacji graficznych, dostępu do Internetu oraz poczty elektronicznej.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3.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Wyświetlacz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Minimum 21” – maksimum 24” rozdzielczość obsługiwana co najmniej 1920x1080</w:t>
            </w:r>
            <w:r w:rsidRPr="00672628">
              <w:rPr>
                <w:rFonts w:cs="Arial"/>
                <w:color w:val="000000"/>
                <w:sz w:val="18"/>
                <w:szCs w:val="18"/>
              </w:rPr>
              <w:t xml:space="preserve"> z matrycą antyrefleksyjną lub matową. Nie dopuszcza się matrycy lustrzanej.</w:t>
            </w:r>
          </w:p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Kontrast (Typowy): minimum 1000:1</w:t>
            </w:r>
          </w:p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Jasność: minimum 250cd/m</w:t>
            </w:r>
            <w:r w:rsidRPr="00672628">
              <w:rPr>
                <w:rFonts w:cs="Calibri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4.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Procesor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4"/>
              </w:numPr>
              <w:ind w:left="353" w:hanging="281"/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Procesor wielordzeniowy,</w:t>
            </w:r>
          </w:p>
          <w:p w:rsidR="00261BCF" w:rsidRPr="00672628" w:rsidRDefault="00261BCF" w:rsidP="00261BCF">
            <w:pPr>
              <w:numPr>
                <w:ilvl w:val="0"/>
                <w:numId w:val="4"/>
              </w:numPr>
              <w:ind w:left="353" w:hanging="281"/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Zgody z architekturą x86,</w:t>
            </w:r>
          </w:p>
          <w:p w:rsidR="00261BCF" w:rsidRPr="00672628" w:rsidRDefault="00261BCF" w:rsidP="00261BCF">
            <w:pPr>
              <w:numPr>
                <w:ilvl w:val="0"/>
                <w:numId w:val="4"/>
              </w:numPr>
              <w:ind w:left="353" w:hanging="281"/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Wydajność min. 11000 pkt w benchmarku PassMark – Average CPU Mark Wykonawca załączy do oferty wydruk ze strony https://www.cpubenchmark.net/ z datą nie wcześniej niż 14 dni przed składaniem ofert ze wskazaniem wiersza odpowiadającego właściwemu wynikowi testów. Wydruk musi być podpisany przez Wykonawcę.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4"/>
              </w:numPr>
              <w:ind w:left="353" w:hanging="281"/>
              <w:contextualSpacing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5.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Płyta główna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tabs>
                <w:tab w:val="num" w:pos="1724"/>
              </w:tabs>
              <w:contextualSpacing/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Wbudowane porty i złącza:</w:t>
            </w:r>
          </w:p>
          <w:p w:rsidR="00261BCF" w:rsidRPr="00672628" w:rsidRDefault="00261BCF" w:rsidP="00261BCF">
            <w:pPr>
              <w:numPr>
                <w:ilvl w:val="0"/>
                <w:numId w:val="6"/>
              </w:numPr>
              <w:tabs>
                <w:tab w:val="num" w:pos="1724"/>
              </w:tabs>
              <w:ind w:left="353" w:hanging="283"/>
              <w:contextualSpacing/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2 x Gniazdo pamięci RAM,</w:t>
            </w:r>
          </w:p>
          <w:p w:rsidR="00261BCF" w:rsidRPr="00672628" w:rsidRDefault="00261BCF" w:rsidP="00261BCF">
            <w:pPr>
              <w:numPr>
                <w:ilvl w:val="0"/>
                <w:numId w:val="6"/>
              </w:numPr>
              <w:tabs>
                <w:tab w:val="num" w:pos="1724"/>
              </w:tabs>
              <w:ind w:left="353" w:hanging="283"/>
              <w:contextualSpacing/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1 x Karta </w:t>
            </w:r>
            <w:r w:rsidRPr="00672628">
              <w:rPr>
                <w:rFonts w:cs="Arial"/>
                <w:color w:val="000000"/>
                <w:sz w:val="18"/>
                <w:szCs w:val="18"/>
              </w:rPr>
              <w:t xml:space="preserve">Ethernet RJ-45 (10/100/1000) zintegrowana z płytą główną </w:t>
            </w:r>
            <w:r w:rsidRPr="00672628">
              <w:rPr>
                <w:sz w:val="18"/>
                <w:szCs w:val="18"/>
              </w:rPr>
              <w:t xml:space="preserve">wspierająca obsługę WoL (funkcja włączana przez użytkownika)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</w:rPr>
              <w:t>PXE 2.1</w:t>
            </w:r>
          </w:p>
          <w:p w:rsidR="00261BCF" w:rsidRPr="00672628" w:rsidRDefault="00261BCF" w:rsidP="00325626">
            <w:pPr>
              <w:tabs>
                <w:tab w:val="num" w:pos="1724"/>
              </w:tabs>
              <w:ind w:left="354"/>
              <w:contextualSpacing/>
              <w:jc w:val="both"/>
              <w:rPr>
                <w:rFonts w:cs="Calibri"/>
                <w:sz w:val="18"/>
                <w:szCs w:val="18"/>
              </w:rPr>
            </w:pPr>
          </w:p>
          <w:p w:rsidR="00261BCF" w:rsidRPr="00672628" w:rsidRDefault="00261BCF" w:rsidP="00325626">
            <w:pPr>
              <w:ind w:left="70" w:hanging="73"/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Porty zewnętrzne obudowy: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suppressAutoHyphens/>
              <w:ind w:left="353" w:hanging="28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4 x USB w tym 2 x min USB 3.0.,</w:t>
            </w:r>
          </w:p>
          <w:p w:rsidR="00261BCF" w:rsidRPr="00672628" w:rsidRDefault="00261BCF" w:rsidP="00325626">
            <w:pPr>
              <w:suppressAutoHyphens/>
              <w:ind w:left="35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Wymagana ilość portów nie może być osiągnięta w wyniku stosowania konwerterów, przejściówek itp.,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suppressAutoHyphens/>
              <w:ind w:left="353" w:hanging="28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1 x RJ45 (LAN)</w:t>
            </w:r>
          </w:p>
          <w:p w:rsidR="00261BCF" w:rsidRPr="00672628" w:rsidRDefault="00261BCF" w:rsidP="00325626">
            <w:pPr>
              <w:suppressAutoHyphens/>
              <w:ind w:left="35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Wymagana ilość portów nie może być osiągnięta w wyniku stosowania konwerterów, przejściówek itp., 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suppressAutoHyphens/>
              <w:ind w:left="353" w:hanging="28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1 x Wyjście wideo DisplayPort lub miniDisplayPort,</w:t>
            </w:r>
          </w:p>
          <w:p w:rsidR="00261BCF" w:rsidRPr="00672628" w:rsidRDefault="00261BCF" w:rsidP="00325626">
            <w:pPr>
              <w:suppressAutoHyphens/>
              <w:ind w:left="35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(dopuszcza się wyjście HDMI pod warunkiem dostarczenia przejściówki HDMI do DisplayPort),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suppressAutoHyphens/>
              <w:ind w:left="353" w:hanging="28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Wydzielone gniazda mikrofonu i słuchawek</w:t>
            </w:r>
            <w:r w:rsidRPr="00672628">
              <w:rPr>
                <w:rFonts w:cs="Calibri"/>
                <w:sz w:val="18"/>
                <w:szCs w:val="18"/>
              </w:rPr>
              <w:t xml:space="preserve">,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</w:rPr>
              <w:t>w przypadku portu combo należy dostarczyć stosowne przejściówki.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tabs>
                <w:tab w:val="num" w:pos="1724"/>
              </w:tabs>
              <w:contextualSpacing/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lastRenderedPageBreak/>
              <w:t>5.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Pamięć operacyjna (RAM)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Co najmniej 8 GB z możliwością rozbudowy do min 32GB, jeden slot wolny.</w:t>
            </w:r>
          </w:p>
          <w:p w:rsidR="00261BCF" w:rsidRPr="00672628" w:rsidRDefault="00261BCF" w:rsidP="00325626">
            <w:pPr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Nie dopuszcza się pamięci wlutowanych w płycie głównej.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contextualSpacing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6.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Pamięć masowa (SSD)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Min. 240 GB SSD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  <w:lang w:val="sv-SE" w:eastAsia="ar-SA"/>
              </w:rPr>
              <w:t>M.2 PCIe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7.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Napęd optyczny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Zintegrowana w obudowie nagrywarka DVD+/- RW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>wraz z dołączonym zewnętrznym (innym niż wbudowany w system operacyjny) oprogramowaniem z interfejsem graficznym w polskojęzycznej wersji  do odtwarzania i nagrywania płyt z pełną i bezterminową licencją.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8.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Grafika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Zintegrowana w procesorze z możliwością dynamicznego przydzielenia pamięci systemowej, ze sprzętowym wsparciem dla DirectX 12, Shader 5.0 posiadająca min. 20EU (Graphics Execution Units) oraz Dual HD HW Decode.</w:t>
            </w:r>
          </w:p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Oferowana karta graficzna musi osiągać w teście PassMark Performance Test co najmniej wynik 1000 punktów w G3D Rating.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9.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Multimedia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5"/>
              </w:numPr>
              <w:ind w:left="353" w:hanging="28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Dwukanałowa karta dźwiękowa zintegrowana z płytą główną, 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ind w:left="353" w:hanging="28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Wbudowane głośniki w obudowę urządzenia.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5"/>
              </w:numPr>
              <w:ind w:left="353" w:hanging="283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10.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Bezpieczeństwo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Weryfikacja wygenerowanych przez komputer kluczy szyfrowania musi odbywać się w dedykowanym chipsecie na płycie głównej.</w:t>
            </w:r>
          </w:p>
          <w:p w:rsidR="00261BCF" w:rsidRPr="00672628" w:rsidRDefault="00261BCF" w:rsidP="00325626">
            <w:pPr>
              <w:suppressAutoHyphens/>
              <w:rPr>
                <w:rFonts w:cs="Calibri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 xml:space="preserve">Złącze typu Kensington Lock lub rozwiązanie równoważne. </w:t>
            </w:r>
            <w:r w:rsidRPr="00672628"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  <w:t>Poprzez równoważność Zamawiający rozumie możliwość zabezpieczenia urządzenia linką z wykorzystaniem dedykowanego otworu dla zaoferowanego rozwiązania, w który wyposażone jest urządzenie na etapie jego produkcji.</w:t>
            </w:r>
            <w:r w:rsidRPr="00672628"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11.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Funkcje BIOS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BIOS zgodny ze specyfikacją UEFI.</w:t>
            </w:r>
          </w:p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wersji BIOS,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nr seryjnego komputera,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ilości pamięciami RAM,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typie procesora,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MAC adresie zintegrowanej karty sieciowej.</w:t>
            </w:r>
          </w:p>
          <w:p w:rsidR="00261BCF" w:rsidRPr="00672628" w:rsidRDefault="00261BCF" w:rsidP="00325626">
            <w:pPr>
              <w:widowControl w:val="0"/>
              <w:spacing w:line="206" w:lineRule="exact"/>
              <w:rPr>
                <w:rFonts w:eastAsia="Arial" w:cs="Calibri"/>
                <w:sz w:val="18"/>
                <w:szCs w:val="18"/>
              </w:rPr>
            </w:pPr>
            <w:r w:rsidRPr="00672628">
              <w:rPr>
                <w:rFonts w:eastAsia="Arial" w:cs="Calibri"/>
                <w:color w:val="000000"/>
                <w:sz w:val="18"/>
                <w:szCs w:val="18"/>
                <w:lang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261BCF" w:rsidRPr="00672628" w:rsidRDefault="00261BCF" w:rsidP="00261BCF">
            <w:pPr>
              <w:numPr>
                <w:ilvl w:val="0"/>
                <w:numId w:val="7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lastRenderedPageBreak/>
              <w:t>Funkcja blokowania/odblokowania BOOT-owania stacji roboczej z zewnętrznych urządzeń.</w:t>
            </w:r>
          </w:p>
          <w:p w:rsidR="00261BCF" w:rsidRPr="00672628" w:rsidRDefault="00261BCF" w:rsidP="00261BCF">
            <w:pPr>
              <w:numPr>
                <w:ilvl w:val="0"/>
                <w:numId w:val="7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Funkcja blokowania/odblokowania BOOT-owania stacji roboczej z USB</w:t>
            </w:r>
          </w:p>
          <w:p w:rsidR="00261BCF" w:rsidRPr="00672628" w:rsidRDefault="00261BCF" w:rsidP="00261BCF">
            <w:pPr>
              <w:numPr>
                <w:ilvl w:val="0"/>
                <w:numId w:val="7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Możliwość włączenia/wyłączenia funkcjonalności Wake On LAN – zdalne uruchomienie komputera za pośrednictwem sieci LAN</w:t>
            </w:r>
          </w:p>
          <w:p w:rsidR="00261BCF" w:rsidRPr="00672628" w:rsidRDefault="00261BCF" w:rsidP="00261BCF">
            <w:pPr>
              <w:numPr>
                <w:ilvl w:val="0"/>
                <w:numId w:val="7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bCs/>
                <w:color w:val="000000"/>
                <w:sz w:val="18"/>
                <w:szCs w:val="18"/>
              </w:rPr>
              <w:t xml:space="preserve">Możliwość </w:t>
            </w: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 xml:space="preserve">włączenia/wyłączenia hasła </w:t>
            </w:r>
            <w:r w:rsidR="003E227B">
              <w:rPr>
                <w:rFonts w:cs="Calibri"/>
                <w:bCs/>
                <w:color w:val="000000"/>
                <w:sz w:val="18"/>
                <w:szCs w:val="18"/>
              </w:rPr>
              <w:t>wejścia do BIOS</w:t>
            </w:r>
          </w:p>
          <w:p w:rsidR="00261BCF" w:rsidRPr="00672628" w:rsidRDefault="00261BCF" w:rsidP="00325626">
            <w:pPr>
              <w:widowControl w:val="0"/>
              <w:tabs>
                <w:tab w:val="left" w:pos="-43"/>
              </w:tabs>
              <w:suppressAutoHyphens/>
              <w:spacing w:line="202" w:lineRule="exact"/>
              <w:ind w:left="356"/>
              <w:jc w:val="both"/>
              <w:rPr>
                <w:rFonts w:eastAsia="Arial" w:cs="Arial"/>
                <w:color w:val="000000"/>
                <w:sz w:val="18"/>
                <w:szCs w:val="18"/>
                <w:lang w:bidi="pl-PL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meny szybkiego bootowania. System opatrzony min. o funkcjonalność:</w:t>
            </w:r>
          </w:p>
          <w:p w:rsidR="00261BCF" w:rsidRPr="00672628" w:rsidRDefault="00261BCF" w:rsidP="00261BCF">
            <w:pPr>
              <w:numPr>
                <w:ilvl w:val="0"/>
                <w:numId w:val="8"/>
              </w:numPr>
              <w:suppressAutoHyphens/>
              <w:ind w:left="493"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test procesora,</w:t>
            </w:r>
          </w:p>
          <w:p w:rsidR="00261BCF" w:rsidRPr="00672628" w:rsidRDefault="00261BCF" w:rsidP="00261BCF">
            <w:pPr>
              <w:numPr>
                <w:ilvl w:val="0"/>
                <w:numId w:val="8"/>
              </w:numPr>
              <w:suppressAutoHyphens/>
              <w:ind w:left="493"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test pamięci,</w:t>
            </w:r>
          </w:p>
          <w:p w:rsidR="00261BCF" w:rsidRPr="00672628" w:rsidRDefault="00261BCF" w:rsidP="00261BCF">
            <w:pPr>
              <w:numPr>
                <w:ilvl w:val="0"/>
                <w:numId w:val="8"/>
              </w:numPr>
              <w:suppressAutoHyphens/>
              <w:ind w:left="493"/>
              <w:rPr>
                <w:rFonts w:cs="Arial"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test portów USB,</w:t>
            </w:r>
          </w:p>
          <w:p w:rsidR="00261BCF" w:rsidRPr="00672628" w:rsidRDefault="00261BCF" w:rsidP="00261BCF">
            <w:pPr>
              <w:numPr>
                <w:ilvl w:val="0"/>
                <w:numId w:val="8"/>
              </w:numPr>
              <w:suppressAutoHyphens/>
              <w:ind w:left="493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test dysku twardego.</w:t>
            </w:r>
          </w:p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:rsidR="00261BCF" w:rsidRPr="00672628" w:rsidRDefault="00261BCF" w:rsidP="00325626">
            <w:pPr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Aktualizacja BIOS za pomocą strony internetowej producenta w oparciu o najnowsze, aktualne wersje BIOS.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12.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Zgodność z systemami operacyjnymi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Oferowane modele komputerów muszą poprawnie współpracować z systemem operacyjnym Windows 10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13.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System operacyjny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Preinstalowany system Windows 10 Professional PL 64bit (</w:t>
            </w:r>
            <w:r w:rsidRPr="00672628">
              <w:rPr>
                <w:rFonts w:cs="Calibri"/>
                <w:color w:val="000000"/>
                <w:sz w:val="18"/>
                <w:szCs w:val="18"/>
              </w:rPr>
              <w:t>nie wymagający aktywacji za pomocą telefonu</w:t>
            </w:r>
            <w:r w:rsidR="003F2D80">
              <w:rPr>
                <w:rFonts w:cs="Calibri"/>
                <w:color w:val="000000"/>
                <w:sz w:val="18"/>
                <w:szCs w:val="18"/>
              </w:rPr>
              <w:t>,</w:t>
            </w:r>
            <w:r w:rsidRPr="00672628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r w:rsidR="003F2D80">
              <w:rPr>
                <w:rFonts w:cs="Calibri"/>
                <w:color w:val="000000"/>
                <w:sz w:val="18"/>
                <w:szCs w:val="18"/>
                <w:lang w:eastAsia="ar-SA"/>
              </w:rPr>
              <w:t>dopuszcza się możliwość automatycznego połączenia z firmą Microsoft, w sposób niewymagający wykonania dodatkowych czynności przez użytkownika</w:t>
            </w:r>
            <w:r w:rsidRPr="00672628">
              <w:rPr>
                <w:rFonts w:cs="Calibri"/>
                <w:color w:val="000000"/>
                <w:sz w:val="18"/>
                <w:szCs w:val="18"/>
              </w:rPr>
              <w:t>)</w:t>
            </w:r>
            <w:r w:rsidRPr="00672628">
              <w:rPr>
                <w:rFonts w:cs="Calibri"/>
                <w:sz w:val="18"/>
                <w:szCs w:val="18"/>
              </w:rPr>
              <w:t xml:space="preserve"> w celu zapewnienia współpracy z środowiskiem sieciowym oraz aplikacjami funkcjonującymi w sądownictwie powszechnym lub równoważny. </w:t>
            </w:r>
          </w:p>
          <w:p w:rsidR="00261BCF" w:rsidRPr="00672628" w:rsidRDefault="00261BCF" w:rsidP="00325626">
            <w:pPr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Możliwość odzyskania systemu z partycji recovery dysku zainstalowanego w komputerze.</w:t>
            </w:r>
          </w:p>
          <w:p w:rsidR="00261BCF" w:rsidRPr="00672628" w:rsidRDefault="00261BCF" w:rsidP="00325626">
            <w:pPr>
              <w:jc w:val="both"/>
              <w:rPr>
                <w:rFonts w:cs="Calibri"/>
                <w:sz w:val="18"/>
                <w:szCs w:val="18"/>
              </w:rPr>
            </w:pPr>
          </w:p>
          <w:p w:rsidR="00261BCF" w:rsidRPr="00672628" w:rsidRDefault="00261BCF" w:rsidP="00325626">
            <w:pPr>
              <w:jc w:val="both"/>
              <w:rPr>
                <w:rFonts w:cs="Calibri"/>
                <w:b/>
                <w:sz w:val="18"/>
                <w:szCs w:val="18"/>
              </w:rPr>
            </w:pPr>
            <w:r w:rsidRPr="00672628">
              <w:rPr>
                <w:rFonts w:cs="Calibri"/>
                <w:b/>
                <w:sz w:val="18"/>
                <w:szCs w:val="18"/>
              </w:rPr>
              <w:t>Oprogramowanie funkcjonujące w środowisku Zamawiającego: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Oprogramowanie dla sądownictwa firmy OrCom </w:t>
            </w:r>
            <w:r w:rsidRPr="00672628">
              <w:rPr>
                <w:rFonts w:cs="Calibri"/>
                <w:sz w:val="18"/>
                <w:szCs w:val="18"/>
              </w:rPr>
              <w:lastRenderedPageBreak/>
              <w:t xml:space="preserve">(http://www.orcom.pl/sadownictwo.php#oferta) 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Oprogramowanie dla sądownictwa firmy Albit (http://www.albit.eu/)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Oprogramowanie dla sądownictwa firmy Currenda (http://www.currenda.pl/rozwiazania/wymiar-sprawiedliwosci/#rozwiazania) 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Oprogramowanie dla sądownictwa firmy ZETO Świdnica (http://www.zeto.swidnica.pl/index.php?id=49,0,0,1,0,0)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</w:rPr>
              <w:t xml:space="preserve">Oprogramowanie dla sądownictwa firmy Macrologic </w:t>
            </w:r>
          </w:p>
          <w:p w:rsidR="00261BCF" w:rsidRPr="00672628" w:rsidRDefault="00261BCF" w:rsidP="00325626">
            <w:pPr>
              <w:ind w:left="360"/>
              <w:rPr>
                <w:rFonts w:cs="Calibri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</w:rPr>
              <w:t>(http://www.macrologic.pl/#)</w:t>
            </w:r>
          </w:p>
          <w:p w:rsidR="00261BCF" w:rsidRPr="00672628" w:rsidRDefault="00261BCF" w:rsidP="00325626">
            <w:pPr>
              <w:ind w:left="360"/>
              <w:rPr>
                <w:rFonts w:cs="Calibri"/>
                <w:color w:val="000000"/>
                <w:sz w:val="18"/>
                <w:szCs w:val="18"/>
              </w:rPr>
            </w:pPr>
          </w:p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b/>
                <w:sz w:val="18"/>
                <w:szCs w:val="18"/>
              </w:rPr>
              <w:t>Ważna uwaga:</w:t>
            </w:r>
            <w:r w:rsidRPr="00672628">
              <w:rPr>
                <w:rFonts w:cs="Calibri"/>
                <w:sz w:val="18"/>
                <w:szCs w:val="18"/>
              </w:rPr>
              <w:t xml:space="preserve"> Zamawiający nie dopuszcza stosowania emulatorów ani środowisk wirtualnych do uruchomienia wymienionego wyżej oprogramowania.</w:t>
            </w:r>
          </w:p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</w:p>
          <w:p w:rsidR="00261BCF" w:rsidRPr="00672628" w:rsidRDefault="00261BCF" w:rsidP="00325626">
            <w:pPr>
              <w:rPr>
                <w:rFonts w:cs="Calibri"/>
                <w:b/>
                <w:sz w:val="18"/>
                <w:szCs w:val="18"/>
              </w:rPr>
            </w:pPr>
            <w:r w:rsidRPr="00672628">
              <w:rPr>
                <w:rFonts w:cs="Calibri"/>
                <w:b/>
                <w:sz w:val="18"/>
                <w:szCs w:val="18"/>
              </w:rPr>
              <w:t>Cechy równoważności i funkcjonalności oprogramowania systemowego:</w:t>
            </w:r>
          </w:p>
          <w:p w:rsidR="00261BCF" w:rsidRPr="00672628" w:rsidRDefault="00261BCF" w:rsidP="00325626">
            <w:pPr>
              <w:suppressAutoHyphens/>
              <w:autoSpaceDE w:val="0"/>
              <w:spacing w:after="200" w:line="252" w:lineRule="auto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zdalnej automatycznej instalacji, konfiguracji, administrowania </w:t>
            </w: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lastRenderedPageBreak/>
              <w:t>oraz aktualizowania systemu.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lastRenderedPageBreak/>
              <w:t xml:space="preserve">Wsparcie dla JScript i VBScript – możliwość uruchamiania interpretera poleceń.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Funkcjonalność </w:t>
            </w: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261BCF" w:rsidRPr="00672628" w:rsidRDefault="00261BCF" w:rsidP="00325626">
            <w:pPr>
              <w:rPr>
                <w:sz w:val="18"/>
                <w:szCs w:val="18"/>
              </w:rPr>
            </w:pPr>
          </w:p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Wszystkie wymienione cechy spełnione są przez system Windows 10 Professional PL 64bit. Ponadto, jest on preferowany ze względu na dotychczasowe używanie systemów rodziny Windows, a tym samym: </w:t>
            </w:r>
          </w:p>
          <w:p w:rsidR="00261BCF" w:rsidRPr="00672628" w:rsidRDefault="00261BCF" w:rsidP="00261BC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przystosowanie środowiska informatycznego pod ten system (narzędzia sieciowe, stosowane specjalistyczne oprogramowanie),</w:t>
            </w:r>
          </w:p>
          <w:p w:rsidR="00261BCF" w:rsidRPr="00672628" w:rsidRDefault="00261BCF" w:rsidP="00261BC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przeszkolenie administratorów systemów i zwykłych użytkowników,</w:t>
            </w:r>
          </w:p>
          <w:p w:rsidR="00261BCF" w:rsidRPr="00672628" w:rsidRDefault="00261BCF" w:rsidP="00261BC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</w:t>
            </w: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lastRenderedPageBreak/>
              <w:t xml:space="preserve">niejawnych). </w:t>
            </w:r>
          </w:p>
          <w:p w:rsidR="00261BCF" w:rsidRPr="00672628" w:rsidRDefault="00261BCF" w:rsidP="00325626">
            <w:pPr>
              <w:jc w:val="both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261BCF" w:rsidRPr="00672628" w:rsidRDefault="00261BCF" w:rsidP="00325626">
            <w:pPr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Wymagane oświadczenie Wykonawcy potwierdzające, iż oferowana licencja systemu operacyjnego pochodzi z legalnego źródła i została zakupiona na terenie Rzeczpospolitej Polskiej.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lastRenderedPageBreak/>
              <w:t>14.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Wyposażenie dodatkowe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3"/>
                <w:numId w:val="9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Dedykowany zasilacz sieciowy 230V,</w:t>
            </w:r>
          </w:p>
          <w:p w:rsidR="00261BCF" w:rsidRPr="00672628" w:rsidRDefault="00261BCF" w:rsidP="00261BCF">
            <w:pPr>
              <w:numPr>
                <w:ilvl w:val="3"/>
                <w:numId w:val="9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Mysz optyczna USB z min. dwoma klawiszami i rolką (scroll) w kolorze zbliżonym do koloru obudowy,</w:t>
            </w:r>
          </w:p>
          <w:p w:rsidR="00261BCF" w:rsidRPr="00672628" w:rsidRDefault="00261BCF" w:rsidP="00261BCF">
            <w:pPr>
              <w:numPr>
                <w:ilvl w:val="3"/>
                <w:numId w:val="9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Klawiatura USB z wydzieloną klawiaturą numeryczną w układzie US-QWERTY w kolorze zbliżonym do koloru obudowy,</w:t>
            </w:r>
          </w:p>
          <w:p w:rsidR="00261BCF" w:rsidRPr="00672628" w:rsidRDefault="00261BCF" w:rsidP="00261BCF">
            <w:pPr>
              <w:numPr>
                <w:ilvl w:val="3"/>
                <w:numId w:val="9"/>
              </w:numPr>
              <w:tabs>
                <w:tab w:val="clear" w:pos="2880"/>
              </w:tabs>
              <w:suppressAutoHyphens/>
              <w:spacing w:line="252" w:lineRule="auto"/>
              <w:ind w:left="355" w:hanging="355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Dołączony fizyczny nośnik (CD/DVD lub pendrive) ze sterownikami.</w:t>
            </w:r>
          </w:p>
          <w:p w:rsidR="00261BCF" w:rsidRPr="00672628" w:rsidRDefault="00261BCF" w:rsidP="00261BCF">
            <w:pPr>
              <w:numPr>
                <w:ilvl w:val="3"/>
                <w:numId w:val="9"/>
              </w:numPr>
              <w:tabs>
                <w:tab w:val="clear" w:pos="2880"/>
              </w:tabs>
              <w:suppressAutoHyphens/>
              <w:spacing w:line="252" w:lineRule="auto"/>
              <w:ind w:left="355" w:hanging="355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Dołączony fizyczny nośnik (CD/DVD lub pendrive) z systemem operacyjnym zainstalowanym na urządzeniu.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3"/>
                <w:numId w:val="9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tabs>
                <w:tab w:val="left" w:pos="278"/>
              </w:tabs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15.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Warunki gwarancji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Minimum 36 miesięcy,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Czas reakcji serwisu – do końca następnego dnia roboczego,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Usługi serwisowe świadczone w miejscu instalacji urządzenia oraz możliwość szybkiego zgłaszania usterek przez portal internetowy, telefon lub mail,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Dostępność wsparcia technicznego przez 8 godzin, 5 dni roboczych (w godz. 8-16) w tygodniu przez cały rok w języku polskim w dni robocze,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 przypadku awarii nośników danych pozostają one u zamawiającego,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  <w:t>Sprzęt musi być fabrycznie nowy, nie używany. w kartonie, zabezpieczony do transportu i magazynowania.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tabs>
                <w:tab w:val="left" w:pos="284"/>
                <w:tab w:val="left" w:pos="345"/>
              </w:tabs>
              <w:ind w:left="284" w:hanging="284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16.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Wsparcie techniczne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261BCF" w:rsidRPr="00672628" w:rsidRDefault="00261BCF" w:rsidP="00261BCF">
            <w:pPr>
              <w:numPr>
                <w:ilvl w:val="0"/>
                <w:numId w:val="11"/>
              </w:numPr>
              <w:suppressAutoHyphens/>
              <w:ind w:left="360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weryfikację konfiguracji fabrycznej wraz z wersją fabrycznie dostarczonego oprogramowania (system operacyjny, szczegółowa konfiguracja sprzętowa  - CPU, HDD, pamięć),</w:t>
            </w:r>
          </w:p>
          <w:p w:rsidR="00261BCF" w:rsidRPr="00672628" w:rsidRDefault="00261BCF" w:rsidP="00261BCF">
            <w:pPr>
              <w:numPr>
                <w:ilvl w:val="0"/>
                <w:numId w:val="11"/>
              </w:numPr>
              <w:suppressAutoHyphens/>
              <w:ind w:left="360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lastRenderedPageBreak/>
              <w:t>czasu obowiązywania i typ udzielonej gwarancji. Wykonawca poda numer telefonu.</w:t>
            </w:r>
          </w:p>
          <w:p w:rsidR="00261BCF" w:rsidRPr="00672628" w:rsidRDefault="00261BCF" w:rsidP="00325626">
            <w:pPr>
              <w:spacing w:after="120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672628">
              <w:rPr>
                <w:rFonts w:cs="Calibri"/>
                <w:snapToGrid w:val="0"/>
                <w:color w:val="000000"/>
                <w:sz w:val="18"/>
                <w:szCs w:val="18"/>
              </w:rPr>
              <w:t>Wykonawca poda adres strony oraz sposób realizacji wymagania (opis uzyskania w/w informacji)</w:t>
            </w:r>
          </w:p>
          <w:p w:rsidR="00261BCF" w:rsidRPr="00672628" w:rsidRDefault="00261BCF" w:rsidP="00325626">
            <w:pPr>
              <w:jc w:val="both"/>
              <w:rPr>
                <w:rFonts w:cs="Calibri"/>
                <w:snapToGrid w:val="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Możliwość weryfikacji czasu obowiązywania i reżimu gwarancji bezpośrednio z sieci Internet za pośrednictwem strony www Wykonawcy lub producenta komputera. Wykonawca poda adres strony www.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tabs>
                <w:tab w:val="left" w:pos="284"/>
                <w:tab w:val="left" w:pos="345"/>
              </w:tabs>
              <w:ind w:left="284" w:hanging="294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17.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Certyfikaty i standardy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Oferowane urządzenia muszą być  wyprodukowane przez producenta, u którego wdrożono normę PN-EN ISO 9001:2015 lub równoważną, w zakresie co najmniej produkcji lub projektowania lub rozwoju -  urządzeń lub systemów  lub rozwiązań informatycznych (producent posiada certyfikat ISO 9001:2015 lub równoważny).</w:t>
            </w:r>
          </w:p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Oferowane urządzenie posiadają deklarację zgodności CE</w:t>
            </w:r>
          </w:p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Wymagane dokumenty:</w:t>
            </w:r>
          </w:p>
          <w:p w:rsidR="00261BCF" w:rsidRPr="004A2CE5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  <w:lang w:val="en-US"/>
              </w:rPr>
            </w:pPr>
            <w:r w:rsidRPr="004A2CE5">
              <w:rPr>
                <w:rFonts w:cs="Calibri"/>
                <w:sz w:val="18"/>
                <w:szCs w:val="18"/>
                <w:lang w:val="en-US"/>
              </w:rPr>
              <w:t>dot. PassMark Average CPU Mark,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dot. Normy PN-EN  ISO 9001:2015 lub równoważnej dla producenta,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dot. Normy PN-EN  ISO 14001 lub równoważnej  dla producenta,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dot. deklaracji zgodności CE,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dot. zgodności z dyrektywą ROHS UE – dopuszcza się wydruk ze strony lub potwierdzenie przez producenta lub Wykonawcę poprzez oświadczenie,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Oświadczenie o pozostawieniu nośnika danych u Zamawiającego na  wypadek awarii nośnika danych.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eastAsia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lastRenderedPageBreak/>
              <w:t>Oświadczenie Wykonawcy potwierdzające, iż oferowana licencja systemu operacyjnego pochodzi z legalnego źródła i została zakupiona na terenie Rzeczpospolitej Polskiej.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Pr="00011699" w:rsidRDefault="00261BCF" w:rsidP="00B81FDD">
      <w:pPr>
        <w:spacing w:line="360" w:lineRule="auto"/>
        <w:jc w:val="right"/>
        <w:rPr>
          <w:b/>
        </w:rPr>
      </w:pPr>
      <w:r w:rsidRPr="00011699">
        <w:rPr>
          <w:b/>
        </w:rPr>
        <w:t>………………………………………………..</w:t>
      </w:r>
    </w:p>
    <w:p w:rsidR="00261BCF" w:rsidRPr="00251F3D" w:rsidRDefault="00261BCF" w:rsidP="00B81FDD">
      <w:pPr>
        <w:spacing w:line="360" w:lineRule="auto"/>
        <w:jc w:val="right"/>
        <w:rPr>
          <w:b/>
        </w:rPr>
      </w:pP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011699">
        <w:rPr>
          <w:b/>
        </w:rPr>
        <w:t>Podpis Wykonawcy - osoby upoważnionej</w:t>
      </w: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DC4A72" w:rsidRDefault="00DC4A72"/>
    <w:sectPr w:rsidR="00DC4A72" w:rsidSect="00261B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67F" w:rsidRDefault="0031467F" w:rsidP="00007818">
      <w:r>
        <w:separator/>
      </w:r>
    </w:p>
  </w:endnote>
  <w:endnote w:type="continuationSeparator" w:id="0">
    <w:p w:rsidR="0031467F" w:rsidRDefault="0031467F" w:rsidP="00007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818" w:rsidRDefault="00007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818" w:rsidRDefault="000078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818" w:rsidRDefault="00007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67F" w:rsidRDefault="0031467F" w:rsidP="00007818">
      <w:r>
        <w:separator/>
      </w:r>
    </w:p>
  </w:footnote>
  <w:footnote w:type="continuationSeparator" w:id="0">
    <w:p w:rsidR="0031467F" w:rsidRDefault="0031467F" w:rsidP="00007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818" w:rsidRDefault="00007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818" w:rsidRDefault="000078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818" w:rsidRDefault="00007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92B03"/>
    <w:multiLevelType w:val="hybridMultilevel"/>
    <w:tmpl w:val="BCF0C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97FDB"/>
    <w:multiLevelType w:val="hybridMultilevel"/>
    <w:tmpl w:val="7610D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2282D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0" w15:restartNumberingAfterBreak="0">
    <w:nsid w:val="686D6CD6"/>
    <w:multiLevelType w:val="hybridMultilevel"/>
    <w:tmpl w:val="3508BEA2"/>
    <w:lvl w:ilvl="0" w:tplc="D6EEDF7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37334D"/>
    <w:multiLevelType w:val="hybridMultilevel"/>
    <w:tmpl w:val="4CE449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1"/>
  </w:num>
  <w:num w:numId="5">
    <w:abstractNumId w:val="11"/>
  </w:num>
  <w:num w:numId="6">
    <w:abstractNumId w:val="2"/>
  </w:num>
  <w:num w:numId="7">
    <w:abstractNumId w:val="12"/>
  </w:num>
  <w:num w:numId="8">
    <w:abstractNumId w:val="4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BCF"/>
    <w:rsid w:val="00007818"/>
    <w:rsid w:val="00261BCF"/>
    <w:rsid w:val="0031467F"/>
    <w:rsid w:val="003E227B"/>
    <w:rsid w:val="003F2D80"/>
    <w:rsid w:val="00400420"/>
    <w:rsid w:val="00B81FDD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1B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BC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78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78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78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781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2402</Words>
  <Characters>14413</Characters>
  <Application>Microsoft Office Word</Application>
  <DocSecurity>0</DocSecurity>
  <Lines>120</Lines>
  <Paragraphs>33</Paragraphs>
  <ScaleCrop>false</ScaleCrop>
  <Company/>
  <LinksUpToDate>false</LinksUpToDate>
  <CharactersWithSpaces>16782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2020-07-15T08:06:00Z</dcterms:created>
  <dcterms:modified xsi:type="dcterms:W3CDTF">2020-07-15T08:06:00Z</dcterms:modified>
</cp:coreProperties>
</file>